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14B8" w14:textId="047C428E" w:rsidR="004C06C9" w:rsidRDefault="004C06C9" w:rsidP="00CB71DC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49421E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>
        <w:rPr>
          <w:b/>
          <w:bCs/>
          <w:color w:val="000000"/>
          <w:lang w:eastAsia="lv-LV"/>
        </w:rPr>
        <w:t>TS</w:t>
      </w:r>
      <w:r w:rsidR="003E792D">
        <w:rPr>
          <w:b/>
          <w:bCs/>
          <w:color w:val="000000"/>
          <w:lang w:eastAsia="lv-LV"/>
        </w:rPr>
        <w:t xml:space="preserve"> </w:t>
      </w:r>
      <w:r w:rsidR="00CE58E7" w:rsidRPr="00CE58E7">
        <w:rPr>
          <w:b/>
          <w:bCs/>
          <w:color w:val="000000"/>
          <w:lang w:eastAsia="lv-LV"/>
        </w:rPr>
        <w:t xml:space="preserve">1301.009 </w:t>
      </w:r>
      <w:r>
        <w:rPr>
          <w:b/>
          <w:bCs/>
          <w:color w:val="000000"/>
          <w:lang w:eastAsia="lv-LV"/>
        </w:rPr>
        <w:t>v1</w:t>
      </w:r>
      <w:r w:rsidR="00CE58E7" w:rsidRPr="00CE58E7">
        <w:rPr>
          <w:b/>
          <w:bCs/>
          <w:color w:val="000000"/>
          <w:lang w:eastAsia="lv-LV"/>
        </w:rPr>
        <w:t xml:space="preserve"> </w:t>
      </w:r>
    </w:p>
    <w:p w14:paraId="6F1BE103" w14:textId="0AA7FCFA" w:rsidR="007113F5" w:rsidRPr="00357BE6" w:rsidRDefault="00CE58E7" w:rsidP="00CB71DC">
      <w:pPr>
        <w:jc w:val="center"/>
      </w:pPr>
      <w:r w:rsidRPr="00CE58E7">
        <w:rPr>
          <w:b/>
          <w:bCs/>
          <w:color w:val="000000"/>
          <w:lang w:eastAsia="lv-LV"/>
        </w:rPr>
        <w:t xml:space="preserve">"Brīdinājuma norāde", plastmasas lenta robežvietas </w:t>
      </w:r>
      <w:r w:rsidR="007341E3">
        <w:rPr>
          <w:b/>
          <w:bCs/>
          <w:color w:val="000000"/>
          <w:lang w:eastAsia="lv-LV"/>
        </w:rPr>
        <w:t>izveidošanai GVL balstā,</w:t>
      </w:r>
      <w:r w:rsidRPr="00CE58E7">
        <w:rPr>
          <w:b/>
          <w:bCs/>
          <w:color w:val="000000"/>
          <w:lang w:eastAsia="lv-LV"/>
        </w:rPr>
        <w:t xml:space="preserve"> </w:t>
      </w:r>
      <w:r w:rsidR="007B6292">
        <w:rPr>
          <w:b/>
          <w:bCs/>
          <w:color w:val="000000"/>
          <w:lang w:eastAsia="lv-LV"/>
        </w:rPr>
        <w:t>ārtipa</w:t>
      </w:r>
      <w:r w:rsidR="0049421E">
        <w:rPr>
          <w:b/>
          <w:bCs/>
          <w:color w:val="000000"/>
          <w:lang w:eastAsia="lv-LV"/>
        </w:rPr>
        <w:t>/ “Warning indication”, plastic ribbon for creating border point in overhead line pole, outoor</w:t>
      </w:r>
    </w:p>
    <w:p w14:paraId="47CA9263" w14:textId="76E5C116" w:rsidR="005B6CFC" w:rsidRDefault="005B6CFC" w:rsidP="004A314A">
      <w:pPr>
        <w:pStyle w:val="Nosaukums"/>
        <w:widowControl w:val="0"/>
        <w:jc w:val="left"/>
        <w:rPr>
          <w:bCs w:val="0"/>
          <w:noProof/>
          <w:sz w:val="22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614"/>
        <w:gridCol w:w="2044"/>
        <w:gridCol w:w="2775"/>
        <w:gridCol w:w="1418"/>
        <w:gridCol w:w="1319"/>
      </w:tblGrid>
      <w:tr w:rsidR="005E20F7" w:rsidRPr="00CB71DC" w14:paraId="0535040F" w14:textId="77777777" w:rsidTr="0C8C600A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14:paraId="7FE0B5CA" w14:textId="77777777" w:rsidR="005E20F7" w:rsidRPr="00382BE5" w:rsidRDefault="005E20F7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1679280"/>
            <w:r>
              <w:rPr>
                <w:noProof/>
                <w:sz w:val="22"/>
                <w:lang w:eastAsia="lv-LV"/>
              </w:rPr>
              <w:br w:type="page"/>
            </w: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6AAB10D9" w14:textId="77777777" w:rsidR="005E20F7" w:rsidRPr="00382BE5" w:rsidRDefault="005E20F7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FB24872" w14:textId="77777777" w:rsidR="005E20F7" w:rsidRPr="00382BE5" w:rsidRDefault="005E20F7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59221AB" w14:textId="77777777" w:rsidR="005E20F7" w:rsidRPr="00382BE5" w:rsidRDefault="005E20F7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22784F" w14:textId="77777777" w:rsidR="005E20F7" w:rsidRPr="00382BE5" w:rsidRDefault="005E20F7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19" w:type="dxa"/>
            <w:vAlign w:val="center"/>
          </w:tcPr>
          <w:p w14:paraId="3F6E4AB6" w14:textId="77777777" w:rsidR="005E20F7" w:rsidRPr="00382BE5" w:rsidRDefault="005E20F7" w:rsidP="006114F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5E20F7" w:rsidRPr="00CB71DC" w14:paraId="101ADB5B" w14:textId="77777777" w:rsidTr="0C8C600A">
        <w:trPr>
          <w:cantSplit/>
          <w:trHeight w:val="20"/>
        </w:trPr>
        <w:tc>
          <w:tcPr>
            <w:tcW w:w="724" w:type="dxa"/>
            <w:shd w:val="clear" w:color="auto" w:fill="D9D9D9" w:themeFill="background1" w:themeFillShade="D9"/>
            <w:noWrap/>
            <w:vAlign w:val="center"/>
          </w:tcPr>
          <w:p w14:paraId="5DE9620E" w14:textId="77777777" w:rsidR="005E20F7" w:rsidRPr="00CB71DC" w:rsidRDefault="005E20F7" w:rsidP="006114FE">
            <w:pPr>
              <w:pStyle w:val="Bezatstarpm"/>
            </w:pPr>
          </w:p>
        </w:tc>
        <w:tc>
          <w:tcPr>
            <w:tcW w:w="6614" w:type="dxa"/>
            <w:shd w:val="clear" w:color="auto" w:fill="D9D9D9" w:themeFill="background1" w:themeFillShade="D9"/>
            <w:vAlign w:val="center"/>
          </w:tcPr>
          <w:p w14:paraId="5D638C2D" w14:textId="77777777" w:rsidR="005E20F7" w:rsidRPr="004A314A" w:rsidRDefault="005E20F7" w:rsidP="006114FE">
            <w:pPr>
              <w:pStyle w:val="Bezatstarpm"/>
              <w:ind w:left="-59" w:right="-115"/>
              <w:rPr>
                <w:b/>
              </w:rPr>
            </w:pPr>
            <w:r w:rsidRPr="004A314A">
              <w:rPr>
                <w:b/>
              </w:rPr>
              <w:t>Vispārīgā informācija</w:t>
            </w:r>
            <w:r>
              <w:rPr>
                <w:b/>
              </w:rPr>
              <w:t>. General information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4F057310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1F1C090D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14:paraId="11940234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6254D7E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01477046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715DD9D8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387B1E9E" w14:textId="77777777" w:rsidR="005E20F7" w:rsidRPr="00CB71DC" w:rsidRDefault="005E20F7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65263A5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1C59F64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8068C4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7A3FEBD6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50917974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2CAAE6E7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3368EB9C" w14:textId="77777777" w:rsidR="005E20F7" w:rsidRPr="00CB71DC" w:rsidRDefault="005E20F7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CB71DC">
              <w:t>1301.009  "Brīdinājuma norāde", plastmasas lenta robežvietas izveidošanai GVL balstā,  H=50mm</w:t>
            </w:r>
            <w:r>
              <w:t>/ “Warning indication”, plastic ribbon for creating border point in overhead line pole</w:t>
            </w:r>
            <w:r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B238DC9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Type reference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E032C7F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F0FCD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549E1B7D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2E214FE5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77ED3852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6296922E" w14:textId="77777777" w:rsidR="005E20F7" w:rsidRPr="00CB71DC" w:rsidRDefault="005E20F7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572DA3C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22AFC5F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0BAC7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50AA3E35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1DB76D9B" w14:textId="77777777" w:rsidTr="0C8C600A">
        <w:trPr>
          <w:cantSplit/>
          <w:trHeight w:val="20"/>
        </w:trPr>
        <w:tc>
          <w:tcPr>
            <w:tcW w:w="724" w:type="dxa"/>
            <w:shd w:val="clear" w:color="auto" w:fill="D9D9D9" w:themeFill="background1" w:themeFillShade="D9"/>
            <w:noWrap/>
            <w:vAlign w:val="center"/>
          </w:tcPr>
          <w:p w14:paraId="4F02D976" w14:textId="77777777" w:rsidR="005E20F7" w:rsidRPr="00CB71DC" w:rsidRDefault="005E20F7" w:rsidP="006114FE">
            <w:pPr>
              <w:pStyle w:val="Bezatstarpm"/>
            </w:pPr>
          </w:p>
        </w:tc>
        <w:tc>
          <w:tcPr>
            <w:tcW w:w="6614" w:type="dxa"/>
            <w:shd w:val="clear" w:color="auto" w:fill="D9D9D9" w:themeFill="background1" w:themeFillShade="D9"/>
            <w:vAlign w:val="center"/>
          </w:tcPr>
          <w:p w14:paraId="3B5D5278" w14:textId="77777777" w:rsidR="005E20F7" w:rsidRPr="00CB71DC" w:rsidRDefault="005E20F7" w:rsidP="006114FE">
            <w:pPr>
              <w:pStyle w:val="Bezatstarpm"/>
              <w:ind w:left="-59" w:right="-115"/>
              <w:rPr>
                <w:lang w:val="en-US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06318DD4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361AB563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14:paraId="39AD79B9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4F23711E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4F4EC5D6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20F4A7C1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64D465C9" w14:textId="77777777" w:rsidR="005E20F7" w:rsidRPr="00CB71DC" w:rsidRDefault="005E20F7" w:rsidP="006114FE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Conformity to ISO 1183-1:2019). </w:t>
            </w:r>
            <w:r>
              <w:t>Plastics –Methods for determining the density of non-ceccular plastics.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351C595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315BEBF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436227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081957ED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2A79FB8A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1C087910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0C1917E2" w14:textId="77777777" w:rsidR="005E20F7" w:rsidRPr="00CB71DC" w:rsidRDefault="005E20F7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9B5EE00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37858FC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FA6D01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44346E58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53E589C5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24B3A13F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1A3DA5A3" w14:textId="77777777" w:rsidR="005E20F7" w:rsidRPr="00CB71DC" w:rsidRDefault="005E20F7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 xml:space="preserve">Atbilstība standartam  </w:t>
            </w:r>
            <w:r w:rsidRPr="00CB71DC">
              <w:t xml:space="preserve"> ISO 178:201</w:t>
            </w:r>
            <w:r>
              <w:t>9</w:t>
            </w:r>
            <w:r w:rsidRPr="00CB71DC">
              <w:t xml:space="preserve">  Plastmasas. Lieces īpašību noteikšana</w:t>
            </w:r>
            <w:r>
              <w:t>/ Conformity to ISO 178:2019 Plastics – Determination of flexural properties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A081716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36A7BAA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16E5FA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64816AA8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3C3D53C7" w14:textId="77777777" w:rsidTr="0C8C600A">
        <w:trPr>
          <w:cantSplit/>
          <w:trHeight w:val="20"/>
        </w:trPr>
        <w:tc>
          <w:tcPr>
            <w:tcW w:w="724" w:type="dxa"/>
            <w:shd w:val="clear" w:color="auto" w:fill="D9D9D9" w:themeFill="background1" w:themeFillShade="D9"/>
            <w:noWrap/>
            <w:vAlign w:val="center"/>
          </w:tcPr>
          <w:p w14:paraId="27E32322" w14:textId="77777777" w:rsidR="005E20F7" w:rsidRPr="00CB71DC" w:rsidRDefault="005E20F7" w:rsidP="006114FE">
            <w:pPr>
              <w:pStyle w:val="Bezatstarpm"/>
            </w:pPr>
          </w:p>
        </w:tc>
        <w:tc>
          <w:tcPr>
            <w:tcW w:w="6614" w:type="dxa"/>
            <w:shd w:val="clear" w:color="auto" w:fill="D9D9D9" w:themeFill="background1" w:themeFillShade="D9"/>
            <w:vAlign w:val="center"/>
          </w:tcPr>
          <w:p w14:paraId="4FC79DA7" w14:textId="77777777" w:rsidR="005E20F7" w:rsidRPr="00CB71DC" w:rsidRDefault="005E20F7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37F7E264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3BB4DE2F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14:paraId="24BC9255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14697E0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FF4E2B" w:rsidRPr="00CB71DC" w14:paraId="3DBCBA5F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4F9FE56C" w14:textId="77777777" w:rsidR="00FF4E2B" w:rsidRDefault="00FF4E2B" w:rsidP="00FF4E2B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44314FE1" w14:textId="02426504" w:rsidR="00FF4E2B" w:rsidRDefault="00FF4E2B" w:rsidP="00FF4E2B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2D236F1" w14:textId="0D86AA92" w:rsidR="00FF4E2B" w:rsidRPr="00D44315" w:rsidRDefault="00FF4E2B" w:rsidP="00FF4E2B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5928AFA" w14:textId="77777777" w:rsidR="00FF4E2B" w:rsidRPr="00CB71DC" w:rsidRDefault="00FF4E2B" w:rsidP="00FF4E2B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EA60FA" w14:textId="77777777" w:rsidR="00FF4E2B" w:rsidRPr="00CB71DC" w:rsidRDefault="00FF4E2B" w:rsidP="00FF4E2B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37972D97" w14:textId="77777777" w:rsidR="00FF4E2B" w:rsidRDefault="00FF4E2B" w:rsidP="00FF4E2B">
            <w:pPr>
              <w:pStyle w:val="Bezatstarpm"/>
              <w:jc w:val="center"/>
            </w:pPr>
          </w:p>
        </w:tc>
      </w:tr>
      <w:tr w:rsidR="00FF4E2B" w:rsidRPr="00CB71DC" w14:paraId="700F28FF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0C46910D" w14:textId="77777777" w:rsidR="00FF4E2B" w:rsidRPr="00CB71DC" w:rsidRDefault="00FF4E2B" w:rsidP="00FF4E2B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0A375E97" w14:textId="0C8C600A" w:rsidR="0C8C600A" w:rsidRDefault="0C8C600A">
            <w:r w:rsidRPr="0C8C600A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934898C" w14:textId="1C381D9A" w:rsidR="00FF4E2B" w:rsidRPr="00D44315" w:rsidRDefault="00FF4E2B" w:rsidP="00FF4E2B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F8D664C" w14:textId="77777777" w:rsidR="00FF4E2B" w:rsidRPr="00CB71DC" w:rsidRDefault="00FF4E2B" w:rsidP="00FF4E2B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A526B" w14:textId="77777777" w:rsidR="00FF4E2B" w:rsidRPr="00CB71DC" w:rsidRDefault="00FF4E2B" w:rsidP="00FF4E2B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7158A06B" w14:textId="77777777" w:rsidR="00FF4E2B" w:rsidRPr="00CB71DC" w:rsidRDefault="00FF4E2B" w:rsidP="00FF4E2B">
            <w:pPr>
              <w:pStyle w:val="Bezatstarpm"/>
              <w:jc w:val="center"/>
            </w:pPr>
          </w:p>
        </w:tc>
      </w:tr>
      <w:tr w:rsidR="005E20F7" w:rsidRPr="00CB71DC" w14:paraId="2F21E926" w14:textId="77777777" w:rsidTr="0C8C600A">
        <w:trPr>
          <w:cantSplit/>
          <w:trHeight w:val="20"/>
        </w:trPr>
        <w:tc>
          <w:tcPr>
            <w:tcW w:w="724" w:type="dxa"/>
            <w:shd w:val="clear" w:color="auto" w:fill="D9D9D9" w:themeFill="background1" w:themeFillShade="D9"/>
            <w:noWrap/>
            <w:vAlign w:val="center"/>
          </w:tcPr>
          <w:p w14:paraId="10A4AFDB" w14:textId="77777777" w:rsidR="005E20F7" w:rsidRPr="00CB71DC" w:rsidRDefault="005E20F7" w:rsidP="006114FE">
            <w:pPr>
              <w:pStyle w:val="Bezatstarpm"/>
            </w:pPr>
          </w:p>
        </w:tc>
        <w:tc>
          <w:tcPr>
            <w:tcW w:w="6614" w:type="dxa"/>
            <w:shd w:val="clear" w:color="auto" w:fill="D9D9D9" w:themeFill="background1" w:themeFillShade="D9"/>
            <w:vAlign w:val="center"/>
          </w:tcPr>
          <w:p w14:paraId="18FB29B8" w14:textId="77777777" w:rsidR="005E20F7" w:rsidRPr="00CB71DC" w:rsidRDefault="005E20F7" w:rsidP="006114FE">
            <w:pPr>
              <w:pStyle w:val="Bezatstarpm"/>
              <w:ind w:left="-59" w:right="-115"/>
            </w:pPr>
            <w:r w:rsidRPr="00CB71DC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767C446B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1859AF24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14:paraId="43A0ABB4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5E7F801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08C001F7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42FA25C7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11882E5E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 xml:space="preserve">Biezums, mm </w:t>
            </w:r>
            <w:r>
              <w:t>/ Thickness, mm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0679548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t xml:space="preserve">≥ 2.0 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0D6A96D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2E6BE7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0DEE4454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0853120A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49182417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3E2D6B82" w14:textId="77777777" w:rsidR="005E20F7" w:rsidRPr="00CB71DC" w:rsidRDefault="005E20F7" w:rsidP="006114FE">
            <w:pPr>
              <w:pStyle w:val="Bezatstarpm"/>
              <w:ind w:left="-59" w:right="-115"/>
            </w:pPr>
            <w:r w:rsidRPr="00CB71DC">
              <w:t>Platums, mm</w:t>
            </w:r>
            <w:r>
              <w:t>/ Width, mm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F823C4E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rPr>
                <w:rFonts w:eastAsia="Calibri"/>
                <w:lang w:val="en-US"/>
              </w:rPr>
              <w:t>50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250739E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707B33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5D32FE4F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1D4BE382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75E7CE57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58E3CF19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>Vienas 50 mm plaknes fona krāsa: Dzeltens  RAL 1003</w:t>
            </w:r>
            <w:r>
              <w:t>/ One 50mm plane background colour: yellow RAL 1003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68CD6B6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415DBC8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9D756D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64AEB468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16F1CE26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0363B105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228AC889" w14:textId="77777777" w:rsidR="005E20F7" w:rsidRPr="00CB71DC" w:rsidRDefault="005E20F7" w:rsidP="006114FE">
            <w:pPr>
              <w:pStyle w:val="Bezatstarpm"/>
              <w:jc w:val="both"/>
            </w:pPr>
            <w:r w:rsidRPr="00CB71DC">
              <w:t>Pamatnes materiāls plastikāts</w:t>
            </w:r>
            <w:r>
              <w:t>/ Base material plastic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13C00B1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t>Jā</w:t>
            </w:r>
            <w:r>
              <w:t>/ Yes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5F366BC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B90B5E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36F60385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4CBE7E24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557E508F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69E56619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>Materiāla blīvums, g/cm³</w:t>
            </w:r>
            <w:r>
              <w:t>/</w:t>
            </w:r>
            <w:r w:rsidRPr="00CB71DC">
              <w:t xml:space="preserve"> </w:t>
            </w:r>
            <w:r>
              <w:t xml:space="preserve">Density of material, </w:t>
            </w:r>
            <w:r w:rsidRPr="00F45556">
              <w:t>g/cm³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8AB95B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t>1.4-1.46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4F59D99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AB9946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1B23F018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287B5B83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42FA1879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0F89BB4B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>Materiāla elastība pēc ISO 178:201</w:t>
            </w:r>
            <w:r>
              <w:t>9</w:t>
            </w:r>
            <w:r w:rsidRPr="00CB71DC">
              <w:t xml:space="preserve"> (produktu var piestiprināt pie izliektas virsmas, virsmas ar rādiusu d &gt; 100mm. Papildus -materiālam nepārlūstot ir jāiztur</w:t>
            </w:r>
            <w:r>
              <w:t xml:space="preserve"> vairāk par 5 locījumiem 270º)/ Flexibility of material according to ISO 178:2019 (producēt can be attached to cranked surface, surface d&gt;100mm. Additional – material should not brake when folded more than 5 times in 270º)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1E2DDDA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color w:val="000000"/>
              </w:rPr>
              <w:t>Norādīt/ Specify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765B11C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872DC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4D6B4D25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4F541F97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1F72669E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02D76D74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>Izturīgs pret ķimikālijām (koksnes konservantu Koppers.eu celcure C4 vai analogu)</w:t>
            </w:r>
            <w:r>
              <w:t>/ Resistant to chemicls (wood preservative Koppers.eu celcure C4 or analog)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D8EBB82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CB71DC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7BC1ED5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F78920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71546FDB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2A9F4305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694CC795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41919644" w14:textId="77777777" w:rsidR="005E20F7" w:rsidRPr="00CB71DC" w:rsidRDefault="005E20F7" w:rsidP="006114FE">
            <w:pPr>
              <w:pStyle w:val="Bezatstarpm"/>
              <w:ind w:right="-129"/>
            </w:pPr>
            <w:r w:rsidRPr="00CB71DC">
              <w:t>Materiāla īpašības pieļauj tā griešanu ar šķērēm un piestiprināšanu pi</w:t>
            </w:r>
            <w:r>
              <w:t>e koka balsta izmantojot naglas/ Material properties allow it to be cutted with scissors and attachment to wooden pole using nails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93E8134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CB71DC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DEF5AD8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7CD7BA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2A6CCA72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5D90EF7E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3ADAD4DC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7824BEAE" w14:textId="77777777" w:rsidR="005E20F7" w:rsidRPr="00CB71DC" w:rsidRDefault="005E20F7" w:rsidP="006114FE">
            <w:pPr>
              <w:pStyle w:val="Bezatstarpm"/>
              <w:jc w:val="both"/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4B41358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21444E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B56F3CD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D401B3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319" w:type="dxa"/>
            <w:vAlign w:val="center"/>
          </w:tcPr>
          <w:p w14:paraId="4D51FE2D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41D490C8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1C40AB3D" w14:textId="77777777" w:rsidR="005E20F7" w:rsidRPr="00CB71DC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  <w:hideMark/>
          </w:tcPr>
          <w:p w14:paraId="77F5FD4D" w14:textId="77777777" w:rsidR="005E20F7" w:rsidRPr="00CB71DC" w:rsidRDefault="005E20F7" w:rsidP="006114FE">
            <w:pPr>
              <w:pStyle w:val="Bezatstarpm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3037161" w14:textId="77777777" w:rsidR="005E20F7" w:rsidRPr="00CB71DC" w:rsidRDefault="005E20F7" w:rsidP="006114FE">
            <w:pPr>
              <w:pStyle w:val="Bezatstarpm"/>
              <w:ind w:right="-129"/>
              <w:jc w:val="center"/>
            </w:pPr>
            <w:r w:rsidRPr="00CB71DC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6215A33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E26B3" w14:textId="77777777" w:rsidR="005E20F7" w:rsidRPr="00CB71DC" w:rsidRDefault="005E20F7" w:rsidP="006114FE">
            <w:pPr>
              <w:pStyle w:val="Bezatstarpm"/>
              <w:jc w:val="center"/>
            </w:pPr>
            <w:r w:rsidRPr="00CB71DC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B0137" wp14:editId="3C8A568D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oval id="Oval 40" style="position:absolute;margin-left:205.75pt;margin-top:80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40C24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/>
                  </w:pict>
                </mc:Fallback>
              </mc:AlternateContent>
            </w:r>
            <w:r w:rsidRPr="00CB71DC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272236" wp14:editId="525833E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oval id="Oval 40" style="position:absolute;margin-left:206pt;margin-top:4.1pt;width:3.8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328C9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/>
                  </w:pict>
                </mc:Fallback>
              </mc:AlternateContent>
            </w:r>
          </w:p>
        </w:tc>
        <w:tc>
          <w:tcPr>
            <w:tcW w:w="1319" w:type="dxa"/>
            <w:vAlign w:val="center"/>
          </w:tcPr>
          <w:p w14:paraId="306F8881" w14:textId="77777777" w:rsidR="005E20F7" w:rsidRPr="00CB71DC" w:rsidRDefault="005E20F7" w:rsidP="006114FE">
            <w:pPr>
              <w:pStyle w:val="Bezatstarpm"/>
              <w:jc w:val="center"/>
            </w:pPr>
          </w:p>
        </w:tc>
      </w:tr>
      <w:tr w:rsidR="005E20F7" w:rsidRPr="00CB71DC" w14:paraId="4E14EB7D" w14:textId="77777777" w:rsidTr="0C8C60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14:paraId="12C33348" w14:textId="77777777" w:rsidR="005E20F7" w:rsidRDefault="005E20F7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614" w:type="dxa"/>
            <w:shd w:val="clear" w:color="auto" w:fill="auto"/>
            <w:vAlign w:val="center"/>
          </w:tcPr>
          <w:p w14:paraId="659316D6" w14:textId="77777777" w:rsidR="005E20F7" w:rsidRDefault="005E20F7" w:rsidP="006114FE">
            <w:pPr>
              <w:pStyle w:val="Bezatstarpm"/>
              <w:jc w:val="both"/>
            </w:pPr>
            <w:r>
              <w:t>Informatīvs attēls:</w:t>
            </w:r>
          </w:p>
          <w:p w14:paraId="56E00D19" w14:textId="77777777" w:rsidR="005E20F7" w:rsidRPr="00F45556" w:rsidRDefault="005E20F7" w:rsidP="006114FE">
            <w:pPr>
              <w:pStyle w:val="Bezatstarpm"/>
            </w:pPr>
            <w:r>
              <w:rPr>
                <w:noProof/>
                <w:lang w:eastAsia="lv-LV"/>
              </w:rPr>
              <w:drawing>
                <wp:inline distT="0" distB="0" distL="0" distR="0" wp14:anchorId="1CCD01C9" wp14:editId="7FCA4B11">
                  <wp:extent cx="5291556" cy="40195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945" cy="405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C634D7F" w14:textId="77777777" w:rsidR="005E20F7" w:rsidRPr="00CB71DC" w:rsidRDefault="005E20F7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8A1040A" w14:textId="77777777" w:rsidR="005E20F7" w:rsidRPr="00CB71DC" w:rsidRDefault="005E20F7" w:rsidP="006114FE">
            <w:pPr>
              <w:pStyle w:val="Bezatstarpm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24B3B3" w14:textId="77777777" w:rsidR="005E20F7" w:rsidRPr="00CB71DC" w:rsidRDefault="005E20F7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319" w:type="dxa"/>
            <w:vAlign w:val="center"/>
          </w:tcPr>
          <w:p w14:paraId="5F0E991E" w14:textId="77777777" w:rsidR="005E20F7" w:rsidRDefault="005E20F7" w:rsidP="006114FE">
            <w:pPr>
              <w:pStyle w:val="Bezatstarpm"/>
              <w:jc w:val="center"/>
            </w:pPr>
          </w:p>
        </w:tc>
      </w:tr>
      <w:bookmarkEnd w:id="0"/>
    </w:tbl>
    <w:p w14:paraId="650696B0" w14:textId="65914DE5" w:rsidR="004A314A" w:rsidRPr="005E20F7" w:rsidRDefault="004A314A" w:rsidP="005E20F7">
      <w:pPr>
        <w:spacing w:after="200" w:line="276" w:lineRule="auto"/>
        <w:rPr>
          <w:bCs/>
          <w:noProof/>
          <w:sz w:val="22"/>
          <w:lang w:eastAsia="lv-LV"/>
        </w:rPr>
      </w:pPr>
    </w:p>
    <w:sectPr w:rsidR="004A314A" w:rsidRPr="005E20F7" w:rsidSect="00830D1A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52D5" w14:textId="77777777" w:rsidR="00C73F88" w:rsidRDefault="00C73F88" w:rsidP="00CF5FAB">
      <w:r>
        <w:separator/>
      </w:r>
    </w:p>
  </w:endnote>
  <w:endnote w:type="continuationSeparator" w:id="0">
    <w:p w14:paraId="6723E175" w14:textId="77777777" w:rsidR="00C73F88" w:rsidRDefault="00C73F88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76B9" w14:textId="5F452E11" w:rsidR="004A314A" w:rsidRPr="00A060F0" w:rsidRDefault="00A060F0" w:rsidP="0013745A">
    <w:pPr>
      <w:pStyle w:val="Kjene"/>
      <w:jc w:val="center"/>
    </w:pPr>
    <w:r w:rsidRPr="00A060F0">
      <w:fldChar w:fldCharType="begin"/>
    </w:r>
    <w:r w:rsidRPr="00A060F0">
      <w:instrText>PAGE  \* Arabic  \* MERGEFORMAT</w:instrText>
    </w:r>
    <w:r w:rsidRPr="00A060F0">
      <w:fldChar w:fldCharType="separate"/>
    </w:r>
    <w:r w:rsidR="0082761A">
      <w:rPr>
        <w:noProof/>
      </w:rPr>
      <w:t>2</w:t>
    </w:r>
    <w:r w:rsidRPr="00A060F0">
      <w:fldChar w:fldCharType="end"/>
    </w:r>
    <w:r w:rsidRPr="00A060F0">
      <w:t xml:space="preserve"> no </w:t>
    </w:r>
    <w:r w:rsidR="004C06C9">
      <w:rPr>
        <w:noProof/>
      </w:rPr>
      <w:fldChar w:fldCharType="begin"/>
    </w:r>
    <w:r w:rsidR="004C06C9">
      <w:rPr>
        <w:noProof/>
      </w:rPr>
      <w:instrText>NUMPAGES  \* Arabic  \* MERGEFORMAT</w:instrText>
    </w:r>
    <w:r w:rsidR="004C06C9">
      <w:rPr>
        <w:noProof/>
      </w:rPr>
      <w:fldChar w:fldCharType="separate"/>
    </w:r>
    <w:r w:rsidR="0082761A">
      <w:rPr>
        <w:noProof/>
      </w:rPr>
      <w:t>4</w:t>
    </w:r>
    <w:r w:rsidR="004C06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85E0" w14:textId="77777777" w:rsidR="00C73F88" w:rsidRDefault="00C73F88" w:rsidP="00CF5FAB">
      <w:r>
        <w:separator/>
      </w:r>
    </w:p>
  </w:footnote>
  <w:footnote w:type="continuationSeparator" w:id="0">
    <w:p w14:paraId="4519A319" w14:textId="77777777" w:rsidR="00C73F88" w:rsidRDefault="00C73F88" w:rsidP="00CF5FAB">
      <w:r>
        <w:continuationSeparator/>
      </w:r>
    </w:p>
  </w:footnote>
  <w:footnote w:id="1">
    <w:p w14:paraId="0EAEBD38" w14:textId="77777777" w:rsidR="005E20F7" w:rsidRDefault="005E20F7" w:rsidP="005E20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609DD280" w14:textId="77777777" w:rsidR="005E20F7" w:rsidRDefault="005E20F7" w:rsidP="005E20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21A16B71" w14:textId="77777777" w:rsidR="005E20F7" w:rsidRDefault="005E20F7" w:rsidP="005E20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11559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F7DB" w14:textId="12C9D913" w:rsidR="00CB71DC" w:rsidRPr="00CB71DC" w:rsidRDefault="004C06C9" w:rsidP="00CB71DC">
    <w:pPr>
      <w:pStyle w:val="Galvene"/>
      <w:jc w:val="right"/>
    </w:pPr>
    <w:r>
      <w:rPr>
        <w:bCs/>
        <w:color w:val="000000"/>
        <w:lang w:eastAsia="lv-LV"/>
      </w:rPr>
      <w:t>TS</w:t>
    </w:r>
    <w:r w:rsidR="003E792D">
      <w:rPr>
        <w:bCs/>
        <w:color w:val="000000"/>
        <w:lang w:eastAsia="lv-LV"/>
      </w:rPr>
      <w:t xml:space="preserve"> </w:t>
    </w:r>
    <w:r w:rsidR="00CB71DC" w:rsidRPr="00CB71DC">
      <w:rPr>
        <w:bCs/>
        <w:color w:val="000000"/>
        <w:lang w:eastAsia="lv-LV"/>
      </w:rPr>
      <w:t>1301.009</w:t>
    </w:r>
    <w:r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A61"/>
    <w:multiLevelType w:val="multilevel"/>
    <w:tmpl w:val="A804568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2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2F1C"/>
    <w:rsid w:val="000358F4"/>
    <w:rsid w:val="00046F62"/>
    <w:rsid w:val="00053868"/>
    <w:rsid w:val="00064B73"/>
    <w:rsid w:val="00084059"/>
    <w:rsid w:val="00096A74"/>
    <w:rsid w:val="000A6C7E"/>
    <w:rsid w:val="000A7A39"/>
    <w:rsid w:val="00136ACE"/>
    <w:rsid w:val="0013745A"/>
    <w:rsid w:val="00143EDD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206E54"/>
    <w:rsid w:val="00213470"/>
    <w:rsid w:val="002144EC"/>
    <w:rsid w:val="00240BDC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2BE5"/>
    <w:rsid w:val="00387900"/>
    <w:rsid w:val="003976FC"/>
    <w:rsid w:val="003D11CF"/>
    <w:rsid w:val="003D1B7B"/>
    <w:rsid w:val="003D6EF8"/>
    <w:rsid w:val="003E792D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622E4"/>
    <w:rsid w:val="00472D9B"/>
    <w:rsid w:val="00474122"/>
    <w:rsid w:val="00486058"/>
    <w:rsid w:val="0049421E"/>
    <w:rsid w:val="00497D44"/>
    <w:rsid w:val="004A314A"/>
    <w:rsid w:val="004A4E56"/>
    <w:rsid w:val="004C06C9"/>
    <w:rsid w:val="004D1E45"/>
    <w:rsid w:val="004E2F06"/>
    <w:rsid w:val="004E429F"/>
    <w:rsid w:val="004F2122"/>
    <w:rsid w:val="00500E59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81762"/>
    <w:rsid w:val="005A0D9F"/>
    <w:rsid w:val="005A4B32"/>
    <w:rsid w:val="005B6CFC"/>
    <w:rsid w:val="005C3D1B"/>
    <w:rsid w:val="005C5DED"/>
    <w:rsid w:val="005E20F7"/>
    <w:rsid w:val="005E4E61"/>
    <w:rsid w:val="005E6E26"/>
    <w:rsid w:val="005F5816"/>
    <w:rsid w:val="00603F00"/>
    <w:rsid w:val="006048EE"/>
    <w:rsid w:val="0065108C"/>
    <w:rsid w:val="00653827"/>
    <w:rsid w:val="006641D9"/>
    <w:rsid w:val="00666F12"/>
    <w:rsid w:val="00667DFA"/>
    <w:rsid w:val="006A19A8"/>
    <w:rsid w:val="006A4BA7"/>
    <w:rsid w:val="006C781F"/>
    <w:rsid w:val="006F7C34"/>
    <w:rsid w:val="00701A4A"/>
    <w:rsid w:val="00702720"/>
    <w:rsid w:val="007113F5"/>
    <w:rsid w:val="00716576"/>
    <w:rsid w:val="007341E3"/>
    <w:rsid w:val="0074417D"/>
    <w:rsid w:val="0075007C"/>
    <w:rsid w:val="00794182"/>
    <w:rsid w:val="00797CD3"/>
    <w:rsid w:val="007B48C7"/>
    <w:rsid w:val="007B6292"/>
    <w:rsid w:val="007D3A8A"/>
    <w:rsid w:val="007D3A91"/>
    <w:rsid w:val="00806F22"/>
    <w:rsid w:val="00826C19"/>
    <w:rsid w:val="0082761A"/>
    <w:rsid w:val="00830D1A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5A7B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9F5074"/>
    <w:rsid w:val="00A060F0"/>
    <w:rsid w:val="00A23FAB"/>
    <w:rsid w:val="00A26796"/>
    <w:rsid w:val="00A43E57"/>
    <w:rsid w:val="00A43ECE"/>
    <w:rsid w:val="00A45529"/>
    <w:rsid w:val="00A75612"/>
    <w:rsid w:val="00A77DE4"/>
    <w:rsid w:val="00A8288F"/>
    <w:rsid w:val="00A83891"/>
    <w:rsid w:val="00A9415E"/>
    <w:rsid w:val="00AA0296"/>
    <w:rsid w:val="00AE518C"/>
    <w:rsid w:val="00B02A88"/>
    <w:rsid w:val="00B07DCD"/>
    <w:rsid w:val="00B15081"/>
    <w:rsid w:val="00B351CF"/>
    <w:rsid w:val="00B52D1B"/>
    <w:rsid w:val="00B55030"/>
    <w:rsid w:val="00B743F4"/>
    <w:rsid w:val="00BA44B6"/>
    <w:rsid w:val="00BC64F0"/>
    <w:rsid w:val="00BE7B4F"/>
    <w:rsid w:val="00C3526E"/>
    <w:rsid w:val="00C360EC"/>
    <w:rsid w:val="00C50743"/>
    <w:rsid w:val="00C515B1"/>
    <w:rsid w:val="00C53EDC"/>
    <w:rsid w:val="00C73F88"/>
    <w:rsid w:val="00CB14D1"/>
    <w:rsid w:val="00CB5123"/>
    <w:rsid w:val="00CB71DC"/>
    <w:rsid w:val="00CC41B3"/>
    <w:rsid w:val="00CD6472"/>
    <w:rsid w:val="00CE3CDA"/>
    <w:rsid w:val="00CE58E7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1228D"/>
    <w:rsid w:val="00E407E1"/>
    <w:rsid w:val="00E55893"/>
    <w:rsid w:val="00E607C0"/>
    <w:rsid w:val="00E733E5"/>
    <w:rsid w:val="00E74C6F"/>
    <w:rsid w:val="00E77323"/>
    <w:rsid w:val="00EA3619"/>
    <w:rsid w:val="00EB016B"/>
    <w:rsid w:val="00EC6AA3"/>
    <w:rsid w:val="00ED2DA0"/>
    <w:rsid w:val="00EE21F1"/>
    <w:rsid w:val="00F03517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00FF4E2B"/>
    <w:rsid w:val="0C8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B71D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B71D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B71DC"/>
    <w:rPr>
      <w:vertAlign w:val="superscript"/>
    </w:rPr>
  </w:style>
  <w:style w:type="paragraph" w:customStyle="1" w:styleId="FooterLeft">
    <w:name w:val="Footer Left"/>
    <w:basedOn w:val="Kjene"/>
    <w:uiPriority w:val="35"/>
    <w:qFormat/>
    <w:rsid w:val="004A314A"/>
    <w:pPr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pacing w:after="200"/>
      <w:contextualSpacing/>
    </w:pPr>
    <w:rPr>
      <w:rFonts w:asciiTheme="minorHAnsi" w:eastAsiaTheme="minorHAnsi" w:hAnsiTheme="minorHAnsi"/>
      <w:color w:val="7F7F7F" w:themeColor="text1" w:themeTint="80"/>
      <w:sz w:val="20"/>
      <w:szCs w:val="18"/>
      <w:lang w:val="en-US" w:eastAsia="ja-JP"/>
    </w:rPr>
  </w:style>
  <w:style w:type="character" w:styleId="Hipersaite">
    <w:name w:val="Hyperlink"/>
    <w:basedOn w:val="Noklusjumarindkopasfonts"/>
    <w:uiPriority w:val="99"/>
    <w:unhideWhenUsed/>
    <w:rsid w:val="005E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DF7E-18AD-4506-AB70-D355F17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2271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