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61F5019"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AE475A">
        <w:rPr>
          <w:sz w:val="24"/>
        </w:rPr>
        <w:t>3110</w:t>
      </w:r>
      <w:r w:rsidR="000F0B53">
        <w:rPr>
          <w:sz w:val="24"/>
        </w:rPr>
        <w:t>.</w:t>
      </w:r>
      <w:r w:rsidR="008B0AEF">
        <w:rPr>
          <w:sz w:val="24"/>
        </w:rPr>
        <w:t>0</w:t>
      </w:r>
      <w:r w:rsidR="004F5B98">
        <w:rPr>
          <w:sz w:val="24"/>
        </w:rPr>
        <w:t>20</w:t>
      </w:r>
      <w:r w:rsidR="00FF046B">
        <w:rPr>
          <w:sz w:val="24"/>
        </w:rPr>
        <w:t xml:space="preserve"> </w:t>
      </w:r>
      <w:r w:rsidR="00995AB9" w:rsidRPr="00C00044">
        <w:rPr>
          <w:sz w:val="24"/>
        </w:rPr>
        <w:t>v1</w:t>
      </w:r>
    </w:p>
    <w:p w14:paraId="2567FFC0" w14:textId="41CB3ABA" w:rsidR="00FA1CBE" w:rsidRPr="00C00044" w:rsidRDefault="008A578D" w:rsidP="00EF3CEC">
      <w:pPr>
        <w:pStyle w:val="Title"/>
        <w:widowControl w:val="0"/>
        <w:rPr>
          <w:sz w:val="24"/>
          <w:szCs w:val="22"/>
        </w:rPr>
      </w:pPr>
      <w:r>
        <w:rPr>
          <w:sz w:val="24"/>
        </w:rPr>
        <w:t>S</w:t>
      </w:r>
      <w:r w:rsidR="001F0993">
        <w:rPr>
          <w:sz w:val="24"/>
        </w:rPr>
        <w:t>lēdzene</w:t>
      </w:r>
      <w:r w:rsidR="005E1777">
        <w:rPr>
          <w:sz w:val="24"/>
        </w:rPr>
        <w:t xml:space="preserve"> </w:t>
      </w:r>
      <w:r w:rsidRPr="008A578D">
        <w:rPr>
          <w:sz w:val="24"/>
        </w:rPr>
        <w:t xml:space="preserve">piekaramā </w:t>
      </w:r>
      <w:r w:rsidR="005E1777">
        <w:rPr>
          <w:sz w:val="24"/>
        </w:rPr>
        <w:t>"Cilindrs"</w:t>
      </w:r>
      <w:r w:rsidRPr="008A578D">
        <w:t xml:space="preserve"> </w:t>
      </w:r>
      <w:r w:rsidRPr="008A578D">
        <w:rPr>
          <w:sz w:val="24"/>
        </w:rPr>
        <w:t xml:space="preserve">ar trīsstūri </w:t>
      </w:r>
      <w:r w:rsidR="009C7654" w:rsidRPr="00C00044">
        <w:rPr>
          <w:sz w:val="24"/>
        </w:rPr>
        <w:t xml:space="preserve">/ </w:t>
      </w:r>
      <w:r w:rsidR="005E1777">
        <w:rPr>
          <w:sz w:val="24"/>
        </w:rPr>
        <w:t>Pad</w:t>
      </w:r>
      <w:r w:rsidR="001F0993">
        <w:rPr>
          <w:sz w:val="24"/>
        </w:rPr>
        <w:t>lock</w:t>
      </w:r>
      <w:r>
        <w:rPr>
          <w:sz w:val="24"/>
        </w:rPr>
        <w:t xml:space="preserve"> </w:t>
      </w:r>
      <w:r w:rsidR="0042048E">
        <w:rPr>
          <w:sz w:val="24"/>
        </w:rPr>
        <w:t>"Cylinder"</w:t>
      </w:r>
      <w:r w:rsidRPr="008A578D">
        <w:t xml:space="preserve"> </w:t>
      </w:r>
      <w:r w:rsidRPr="008A578D">
        <w:rPr>
          <w:sz w:val="24"/>
        </w:rPr>
        <w:t>with triangular lock</w:t>
      </w:r>
    </w:p>
    <w:tbl>
      <w:tblPr>
        <w:tblW w:w="0" w:type="auto"/>
        <w:tblLook w:val="04A0" w:firstRow="1" w:lastRow="0" w:firstColumn="1" w:lastColumn="0" w:noHBand="0" w:noVBand="1"/>
      </w:tblPr>
      <w:tblGrid>
        <w:gridCol w:w="679"/>
        <w:gridCol w:w="6639"/>
        <w:gridCol w:w="2285"/>
        <w:gridCol w:w="2840"/>
        <w:gridCol w:w="1117"/>
        <w:gridCol w:w="1334"/>
      </w:tblGrid>
      <w:tr w:rsidR="00624E6B" w:rsidRPr="00A316B2" w14:paraId="41607904" w14:textId="77777777" w:rsidTr="00A243AC">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FE01D92" w14:textId="77777777" w:rsidR="00624E6B" w:rsidRPr="00A316B2" w:rsidRDefault="00624E6B" w:rsidP="00A243AC">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DB58EF" w14:textId="77777777" w:rsidR="00624E6B" w:rsidRPr="00A316B2" w:rsidRDefault="00624E6B" w:rsidP="00A243AC">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EF9C12" w14:textId="77777777" w:rsidR="00624E6B" w:rsidRPr="00A316B2" w:rsidRDefault="00624E6B" w:rsidP="00A243AC">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4330D0" w14:textId="77777777" w:rsidR="00624E6B" w:rsidRPr="00A316B2" w:rsidRDefault="00624E6B" w:rsidP="00A243AC">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B45FF8" w14:textId="77777777" w:rsidR="00624E6B" w:rsidRPr="00A316B2" w:rsidRDefault="00624E6B" w:rsidP="00A243AC">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D2A714" w14:textId="77777777" w:rsidR="00624E6B" w:rsidRPr="00A316B2" w:rsidRDefault="00624E6B" w:rsidP="00A243AC">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624E6B" w:rsidRPr="00A316B2" w14:paraId="7B0F6000" w14:textId="77777777" w:rsidTr="00A243A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D0F649F" w14:textId="77777777" w:rsidR="00624E6B" w:rsidRPr="00A316B2" w:rsidRDefault="00624E6B" w:rsidP="00A243AC">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293FD41" w14:textId="77777777" w:rsidR="00624E6B" w:rsidRPr="00A316B2" w:rsidRDefault="00624E6B" w:rsidP="00A243AC">
            <w:pPr>
              <w:rPr>
                <w:color w:val="000000"/>
                <w:lang w:eastAsia="lv-LV"/>
              </w:rPr>
            </w:pPr>
            <w:r w:rsidRPr="00A316B2">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678A1E"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92A8322"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F567DA"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9DC805" w14:textId="77777777" w:rsidR="00624E6B" w:rsidRPr="00A316B2" w:rsidRDefault="00624E6B" w:rsidP="00A243AC">
            <w:pPr>
              <w:jc w:val="center"/>
              <w:rPr>
                <w:color w:val="000000"/>
                <w:lang w:eastAsia="lv-LV"/>
              </w:rPr>
            </w:pPr>
          </w:p>
        </w:tc>
      </w:tr>
      <w:tr w:rsidR="00624E6B" w:rsidRPr="00A316B2" w14:paraId="72449D18" w14:textId="77777777" w:rsidTr="00A243AC">
        <w:trPr>
          <w:cantSplit/>
        </w:trPr>
        <w:tc>
          <w:tcPr>
            <w:tcW w:w="0" w:type="auto"/>
            <w:tcBorders>
              <w:top w:val="nil"/>
              <w:left w:val="single" w:sz="4" w:space="0" w:color="auto"/>
              <w:bottom w:val="single" w:sz="4" w:space="0" w:color="auto"/>
              <w:right w:val="single" w:sz="4" w:space="0" w:color="auto"/>
            </w:tcBorders>
            <w:vAlign w:val="center"/>
          </w:tcPr>
          <w:p w14:paraId="17E2C754"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5A792" w14:textId="77777777" w:rsidR="00624E6B" w:rsidRPr="00A316B2" w:rsidRDefault="00624E6B" w:rsidP="00A243AC">
            <w:pPr>
              <w:rPr>
                <w:color w:val="000000"/>
                <w:lang w:eastAsia="lv-LV"/>
              </w:rPr>
            </w:pPr>
            <w:r w:rsidRPr="00A316B2">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5DFA85DF" w14:textId="77777777" w:rsidR="00624E6B" w:rsidRPr="00A316B2" w:rsidRDefault="00624E6B" w:rsidP="00A243AC">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000000" w:fill="FFFFFF"/>
            <w:vAlign w:val="center"/>
          </w:tcPr>
          <w:p w14:paraId="6EEEA356"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FD0696"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F29B82" w14:textId="77777777" w:rsidR="00624E6B" w:rsidRPr="00A316B2" w:rsidRDefault="00624E6B" w:rsidP="00A243AC">
            <w:pPr>
              <w:jc w:val="center"/>
              <w:rPr>
                <w:color w:val="000000"/>
                <w:lang w:eastAsia="lv-LV"/>
              </w:rPr>
            </w:pPr>
          </w:p>
        </w:tc>
      </w:tr>
      <w:tr w:rsidR="00624E6B" w:rsidRPr="00A316B2" w14:paraId="2D6752DC" w14:textId="77777777" w:rsidTr="00A243AC">
        <w:trPr>
          <w:cantSplit/>
        </w:trPr>
        <w:tc>
          <w:tcPr>
            <w:tcW w:w="0" w:type="auto"/>
            <w:tcBorders>
              <w:top w:val="nil"/>
              <w:left w:val="single" w:sz="4" w:space="0" w:color="auto"/>
              <w:bottom w:val="single" w:sz="4" w:space="0" w:color="auto"/>
              <w:right w:val="single" w:sz="4" w:space="0" w:color="auto"/>
            </w:tcBorders>
            <w:vAlign w:val="center"/>
          </w:tcPr>
          <w:p w14:paraId="4D4B9DE0"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F47376" w14:textId="77777777" w:rsidR="00624E6B" w:rsidRPr="00A316B2" w:rsidRDefault="00624E6B" w:rsidP="00A243AC">
            <w:r w:rsidRPr="00A316B2">
              <w:t>3110.0</w:t>
            </w:r>
            <w:r>
              <w:t>20</w:t>
            </w:r>
            <w:r w:rsidRPr="00A316B2">
              <w:t xml:space="preserve"> </w:t>
            </w:r>
            <w:r w:rsidRPr="00DF6282">
              <w:t>Slēdzene piekaramā "Cilindrs" ar trīsstūri</w:t>
            </w:r>
            <w:r w:rsidRPr="00A316B2">
              <w:t>/ Padlock “Cylinder” with triangular lock</w:t>
            </w:r>
          </w:p>
        </w:tc>
        <w:tc>
          <w:tcPr>
            <w:tcW w:w="0" w:type="auto"/>
            <w:tcBorders>
              <w:top w:val="nil"/>
              <w:left w:val="nil"/>
              <w:bottom w:val="single" w:sz="4" w:space="0" w:color="auto"/>
              <w:right w:val="single" w:sz="4" w:space="0" w:color="auto"/>
            </w:tcBorders>
            <w:shd w:val="clear" w:color="auto" w:fill="auto"/>
            <w:vAlign w:val="center"/>
          </w:tcPr>
          <w:p w14:paraId="04FE74F3" w14:textId="77777777" w:rsidR="00624E6B" w:rsidRPr="00A316B2" w:rsidRDefault="00624E6B" w:rsidP="00A243AC">
            <w:pPr>
              <w:jc w:val="center"/>
              <w:rPr>
                <w:color w:val="000000"/>
                <w:lang w:eastAsia="lv-LV"/>
              </w:rPr>
            </w:pPr>
            <w:r w:rsidRPr="00A316B2">
              <w:rPr>
                <w:color w:val="000000"/>
                <w:lang w:eastAsia="lv-LV"/>
              </w:rPr>
              <w:t xml:space="preserve">Tipa apzīmējums/ Type </w:t>
            </w:r>
            <w:r w:rsidRPr="00A316B2">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0D94427"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1856A6"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C0E6E9" w14:textId="77777777" w:rsidR="00624E6B" w:rsidRPr="00A316B2" w:rsidRDefault="00624E6B" w:rsidP="00A243AC">
            <w:pPr>
              <w:jc w:val="center"/>
              <w:rPr>
                <w:color w:val="000000"/>
                <w:lang w:eastAsia="lv-LV"/>
              </w:rPr>
            </w:pPr>
          </w:p>
        </w:tc>
      </w:tr>
      <w:tr w:rsidR="00624E6B" w:rsidRPr="00A316B2" w14:paraId="146E44EF" w14:textId="77777777" w:rsidTr="00A243A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E29012"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BDEDAF" w14:textId="77777777" w:rsidR="00624E6B" w:rsidRPr="00A316B2" w:rsidRDefault="00624E6B" w:rsidP="00A243AC">
            <w:pPr>
              <w:rPr>
                <w:color w:val="000000"/>
                <w:lang w:eastAsia="lv-LV"/>
              </w:rPr>
            </w:pPr>
            <w:r w:rsidRPr="00A316B2">
              <w:rPr>
                <w:color w:val="000000"/>
                <w:lang w:eastAsia="lv-LV"/>
              </w:rPr>
              <w:t xml:space="preserve">Parauga piegāde tehniskajai izvērtēšanai- kopā ar piedāvājumu/ </w:t>
            </w:r>
            <w:r w:rsidRPr="00A316B2">
              <w:rPr>
                <w:lang w:val="en-US"/>
              </w:rPr>
              <w:t>Delivery for sample technical check-with offer</w:t>
            </w:r>
          </w:p>
        </w:tc>
        <w:tc>
          <w:tcPr>
            <w:tcW w:w="0" w:type="auto"/>
            <w:tcBorders>
              <w:top w:val="nil"/>
              <w:left w:val="nil"/>
              <w:bottom w:val="single" w:sz="4" w:space="0" w:color="auto"/>
              <w:right w:val="single" w:sz="4" w:space="0" w:color="auto"/>
            </w:tcBorders>
            <w:shd w:val="clear" w:color="000000" w:fill="FFFFFF"/>
            <w:vAlign w:val="center"/>
            <w:hideMark/>
          </w:tcPr>
          <w:p w14:paraId="4E54492F" w14:textId="77777777" w:rsidR="00624E6B" w:rsidRPr="00A316B2" w:rsidRDefault="00624E6B" w:rsidP="00A243AC">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12887E86"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6A841E"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5B3789" w14:textId="77777777" w:rsidR="00624E6B" w:rsidRPr="00A316B2" w:rsidRDefault="00624E6B" w:rsidP="00A243AC">
            <w:pPr>
              <w:jc w:val="center"/>
              <w:rPr>
                <w:color w:val="000000"/>
                <w:lang w:eastAsia="lv-LV"/>
              </w:rPr>
            </w:pPr>
          </w:p>
        </w:tc>
      </w:tr>
      <w:tr w:rsidR="00624E6B" w:rsidRPr="00A316B2" w14:paraId="38387681" w14:textId="77777777" w:rsidTr="00A243AC">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5574735" w14:textId="77777777" w:rsidR="00624E6B" w:rsidRPr="00A316B2" w:rsidRDefault="00624E6B" w:rsidP="00A243AC">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53B9E8" w14:textId="6B176DE0" w:rsidR="00624E6B" w:rsidRPr="00A316B2" w:rsidRDefault="00624E6B" w:rsidP="00A243AC">
            <w:pPr>
              <w:rPr>
                <w:b/>
                <w:bCs/>
                <w:color w:val="000000"/>
                <w:lang w:eastAsia="lv-LV"/>
              </w:rPr>
            </w:pPr>
            <w:r w:rsidRPr="00A316B2">
              <w:rPr>
                <w:b/>
                <w:bCs/>
                <w:color w:val="000000"/>
                <w:lang w:eastAsia="lv-LV"/>
              </w:rPr>
              <w:t>Dokumentācija/ Documentation</w:t>
            </w:r>
            <w:r w:rsidR="00641A82" w:rsidRPr="008F3338">
              <w:rPr>
                <w:rFonts w:asciiTheme="minorHAnsi" w:eastAsiaTheme="minorHAnsi" w:hAnsiTheme="minorHAnsi" w:cstheme="minorBidi"/>
                <w:color w:val="000000"/>
                <w:vertAlign w:val="superscript"/>
                <w:lang w:eastAsia="lv-LV"/>
              </w:rPr>
              <w:footnoteReference w:id="2"/>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0FEA94"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A6D575"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57AAFF"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47A2AC" w14:textId="77777777" w:rsidR="00624E6B" w:rsidRPr="00A316B2" w:rsidRDefault="00624E6B" w:rsidP="00A243AC">
            <w:pPr>
              <w:jc w:val="center"/>
              <w:rPr>
                <w:b/>
                <w:bCs/>
                <w:color w:val="000000"/>
                <w:lang w:eastAsia="lv-LV"/>
              </w:rPr>
            </w:pPr>
          </w:p>
        </w:tc>
      </w:tr>
      <w:tr w:rsidR="00624E6B" w:rsidRPr="00A316B2" w14:paraId="64B26022" w14:textId="77777777" w:rsidTr="00A243A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26FA6B" w14:textId="77777777" w:rsidR="00624E6B" w:rsidRDefault="00624E6B" w:rsidP="00A243AC">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61C69F" w14:textId="77777777" w:rsidR="00624E6B" w:rsidRPr="00A316B2" w:rsidRDefault="00624E6B" w:rsidP="00A243AC">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D0D7CE2" w14:textId="77777777" w:rsidR="00624E6B" w:rsidRPr="00A316B2" w:rsidRDefault="00624E6B" w:rsidP="00A243AC">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97CA9A4"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4D39E"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B72279" w14:textId="77777777" w:rsidR="00624E6B" w:rsidRDefault="00624E6B" w:rsidP="00A243AC">
            <w:pPr>
              <w:jc w:val="center"/>
              <w:rPr>
                <w:b/>
                <w:bCs/>
                <w:color w:val="000000"/>
                <w:lang w:eastAsia="lv-LV"/>
              </w:rPr>
            </w:pPr>
          </w:p>
        </w:tc>
      </w:tr>
      <w:tr w:rsidR="00624E6B" w:rsidRPr="00A316B2" w14:paraId="624DCD89" w14:textId="77777777" w:rsidTr="00A243A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1EF2F0" w14:textId="77777777" w:rsidR="00624E6B" w:rsidRPr="00A316B2" w:rsidRDefault="00624E6B" w:rsidP="00A243AC">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5A9AF6" w14:textId="77777777" w:rsidR="00624E6B" w:rsidRPr="00A316B2" w:rsidRDefault="00624E6B" w:rsidP="00A243AC">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2EF78491" w14:textId="77777777" w:rsidR="00624E6B" w:rsidRPr="00A316B2" w:rsidRDefault="00624E6B" w:rsidP="00A243AC">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68A5872A"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3F5257"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46A5A6" w14:textId="77777777" w:rsidR="00624E6B" w:rsidRPr="00A316B2" w:rsidRDefault="00624E6B" w:rsidP="00A243AC">
            <w:pPr>
              <w:jc w:val="center"/>
              <w:rPr>
                <w:b/>
                <w:bCs/>
                <w:color w:val="000000"/>
                <w:lang w:eastAsia="lv-LV"/>
              </w:rPr>
            </w:pPr>
          </w:p>
        </w:tc>
      </w:tr>
      <w:tr w:rsidR="00624E6B" w:rsidRPr="00A316B2" w14:paraId="1BBD6937" w14:textId="77777777" w:rsidTr="00A243A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DD2E0C0" w14:textId="77777777" w:rsidR="00624E6B" w:rsidRPr="00A316B2" w:rsidRDefault="00624E6B" w:rsidP="00A243AC">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0519BC" w14:textId="77777777" w:rsidR="00624E6B" w:rsidRPr="00A316B2" w:rsidRDefault="00624E6B" w:rsidP="00A243AC">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24B94865" w14:textId="77777777" w:rsidR="00624E6B" w:rsidRPr="00A316B2" w:rsidRDefault="00624E6B" w:rsidP="00A243AC">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731B1159" w14:textId="77777777" w:rsidR="00624E6B" w:rsidRPr="00A316B2" w:rsidRDefault="00624E6B" w:rsidP="00A243AC">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7075682F" w14:textId="77777777" w:rsidR="00624E6B" w:rsidRPr="00A316B2" w:rsidRDefault="00624E6B" w:rsidP="00A243AC">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632ABFCB" w14:textId="77777777" w:rsidR="00624E6B" w:rsidRPr="00A316B2" w:rsidRDefault="00624E6B" w:rsidP="00A243AC">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A0CBE29" w14:textId="77777777" w:rsidR="00624E6B" w:rsidRPr="00A316B2" w:rsidRDefault="00624E6B" w:rsidP="00A243AC">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5E82EEB"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5CC94F"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A3B0AB" w14:textId="77777777" w:rsidR="00624E6B" w:rsidRPr="00A316B2" w:rsidRDefault="00624E6B" w:rsidP="00A243AC">
            <w:pPr>
              <w:jc w:val="center"/>
              <w:rPr>
                <w:b/>
                <w:bCs/>
                <w:color w:val="000000"/>
                <w:lang w:eastAsia="lv-LV"/>
              </w:rPr>
            </w:pPr>
          </w:p>
        </w:tc>
      </w:tr>
      <w:tr w:rsidR="00624E6B" w:rsidRPr="00A316B2" w14:paraId="45011ACB" w14:textId="77777777" w:rsidTr="00A243A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7A1555" w14:textId="77777777" w:rsidR="00624E6B" w:rsidRPr="00A316B2" w:rsidRDefault="00624E6B" w:rsidP="00A243AC">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913A1F" w14:textId="77777777" w:rsidR="00624E6B" w:rsidRPr="00A316B2" w:rsidRDefault="00624E6B" w:rsidP="00A243AC">
            <w:pPr>
              <w:rPr>
                <w:color w:val="000000"/>
                <w:lang w:val="en-GB" w:eastAsia="lv-LV"/>
              </w:rPr>
            </w:pPr>
            <w:r w:rsidRPr="005D3F0A">
              <w:rPr>
                <w:color w:val="000000"/>
                <w:lang w:val="en-GB"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186F5B61" w14:textId="77777777" w:rsidR="00624E6B" w:rsidRPr="00A316B2" w:rsidRDefault="00624E6B" w:rsidP="00A243AC">
            <w:pPr>
              <w:jc w:val="center"/>
              <w:rPr>
                <w:color w:val="000000"/>
                <w:lang w:eastAsia="lv-LV"/>
              </w:rPr>
            </w:pPr>
            <w:r w:rsidRPr="005D3F0A">
              <w:rPr>
                <w:color w:val="000000"/>
                <w:lang w:val="en-GB"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31160DA"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BD2FAF" w14:textId="77777777" w:rsidR="00624E6B" w:rsidRPr="00A316B2" w:rsidRDefault="00624E6B" w:rsidP="00A243A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DB3807" w14:textId="77777777" w:rsidR="00624E6B" w:rsidRPr="00A316B2" w:rsidRDefault="00624E6B" w:rsidP="00A243AC">
            <w:pPr>
              <w:jc w:val="center"/>
              <w:rPr>
                <w:b/>
                <w:bCs/>
                <w:color w:val="000000"/>
                <w:lang w:eastAsia="lv-LV"/>
              </w:rPr>
            </w:pPr>
          </w:p>
        </w:tc>
      </w:tr>
      <w:tr w:rsidR="00624E6B" w:rsidRPr="00A316B2" w14:paraId="0234AEFA" w14:textId="77777777" w:rsidTr="00A243A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66DA4B4"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75467C1" w14:textId="77777777" w:rsidR="00624E6B" w:rsidRPr="00A316B2" w:rsidRDefault="00624E6B" w:rsidP="00A243AC">
            <w:pPr>
              <w:rPr>
                <w:color w:val="000000"/>
                <w:highlight w:val="yellow"/>
                <w:lang w:eastAsia="lv-LV"/>
              </w:rPr>
            </w:pPr>
            <w:r w:rsidRPr="00A316B2">
              <w:rPr>
                <w:color w:val="000000"/>
                <w:lang w:eastAsia="lv-LV"/>
              </w:rPr>
              <w:t>Ražotāja atbilstības deklarācija</w:t>
            </w:r>
            <w:r>
              <w:rPr>
                <w:color w:val="000000"/>
                <w:lang w:eastAsia="lv-LV"/>
              </w:rPr>
              <w:t xml:space="preserve"> piemērojamajiem standartiem un kvalitātes prasībām</w:t>
            </w:r>
            <w:r w:rsidRPr="00A316B2">
              <w:rPr>
                <w:color w:val="000000"/>
                <w:lang w:eastAsia="lv-LV"/>
              </w:rPr>
              <w:t xml:space="preserve">/ Manufacturer </w:t>
            </w:r>
            <w:r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0C1D3334" w14:textId="77777777" w:rsidR="00624E6B" w:rsidRPr="00A316B2" w:rsidRDefault="00624E6B" w:rsidP="00A243AC">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57420E6E"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30892D" w14:textId="77777777" w:rsidR="00624E6B" w:rsidRPr="00A316B2" w:rsidRDefault="00624E6B" w:rsidP="00A243A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0B3674" w14:textId="77777777" w:rsidR="00624E6B" w:rsidRPr="00A316B2" w:rsidRDefault="00624E6B" w:rsidP="00A243AC">
            <w:pPr>
              <w:jc w:val="center"/>
              <w:rPr>
                <w:color w:val="000000"/>
                <w:lang w:eastAsia="lv-LV"/>
              </w:rPr>
            </w:pPr>
          </w:p>
        </w:tc>
      </w:tr>
      <w:tr w:rsidR="00624E6B" w:rsidRPr="00A316B2" w14:paraId="2DC7106B"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94E17" w14:textId="77777777" w:rsidR="00624E6B" w:rsidRPr="00A316B2" w:rsidRDefault="00624E6B" w:rsidP="00A243AC">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594B5" w14:textId="77777777" w:rsidR="00624E6B" w:rsidRPr="00A316B2" w:rsidRDefault="00624E6B" w:rsidP="00A243AC">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6D81E"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DD41D"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1F0E84"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7C975A" w14:textId="77777777" w:rsidR="00624E6B" w:rsidRPr="00A316B2" w:rsidRDefault="00624E6B" w:rsidP="00A243AC">
            <w:pPr>
              <w:jc w:val="center"/>
              <w:rPr>
                <w:color w:val="000000"/>
                <w:lang w:eastAsia="lv-LV"/>
              </w:rPr>
            </w:pPr>
          </w:p>
        </w:tc>
      </w:tr>
      <w:tr w:rsidR="00624E6B" w:rsidRPr="00A316B2" w14:paraId="0B164CE7"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D9F9A"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0C2C5" w14:textId="77777777" w:rsidR="00624E6B" w:rsidRDefault="00624E6B" w:rsidP="00A243AC">
            <w:pPr>
              <w:keepNext/>
            </w:pPr>
            <w:r>
              <w:t xml:space="preserve">Atslēgas izgatavota no metāla sakausējuma  "Zamak 5" vai analoga, ar izturību pret koroziju ,  UV starojumu, skābju un sārmu iedarbību/ </w:t>
            </w:r>
          </w:p>
          <w:p w14:paraId="67ECC1A7" w14:textId="77777777" w:rsidR="00624E6B" w:rsidRPr="00A316B2" w:rsidRDefault="00624E6B" w:rsidP="00A243AC">
            <w:pPr>
              <w:keepNext/>
            </w:pPr>
            <w:r>
              <w:t>Kays made of metal alloy Zamak 5 or analogue, resistant to corrosion, , UV radiation, acids and alkalis.</w:t>
            </w:r>
          </w:p>
        </w:tc>
        <w:tc>
          <w:tcPr>
            <w:tcW w:w="0" w:type="auto"/>
            <w:tcBorders>
              <w:top w:val="single" w:sz="4" w:space="0" w:color="auto"/>
              <w:left w:val="nil"/>
              <w:bottom w:val="single" w:sz="4" w:space="0" w:color="auto"/>
              <w:right w:val="single" w:sz="4" w:space="0" w:color="auto"/>
            </w:tcBorders>
            <w:shd w:val="clear" w:color="auto" w:fill="auto"/>
            <w:vAlign w:val="center"/>
          </w:tcPr>
          <w:p w14:paraId="00CE0574" w14:textId="77777777" w:rsidR="00624E6B" w:rsidRPr="00A316B2" w:rsidRDefault="00624E6B" w:rsidP="00A243AC">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B3E830"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F6A5B"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00003F" w14:textId="77777777" w:rsidR="00624E6B" w:rsidRPr="00A316B2" w:rsidRDefault="00624E6B" w:rsidP="00A243AC">
            <w:pPr>
              <w:jc w:val="center"/>
              <w:rPr>
                <w:color w:val="000000"/>
                <w:lang w:eastAsia="lv-LV"/>
              </w:rPr>
            </w:pPr>
          </w:p>
        </w:tc>
      </w:tr>
      <w:tr w:rsidR="00624E6B" w:rsidRPr="00A316B2" w14:paraId="58DBFA2C"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90EF7D"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shd w:val="clear" w:color="auto" w:fill="auto"/>
            <w:vAlign w:val="center"/>
          </w:tcPr>
          <w:p w14:paraId="604089BE" w14:textId="77777777" w:rsidR="00624E6B" w:rsidRPr="00A316B2" w:rsidRDefault="00624E6B" w:rsidP="00A243AC">
            <w:pPr>
              <w:keepNext/>
            </w:pPr>
            <w:r w:rsidRPr="00A316B2">
              <w:t>Paredzamais kalpošanas laiks, gadi/  Life-time,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26F11744" w14:textId="77777777" w:rsidR="00624E6B" w:rsidRPr="00A316B2" w:rsidRDefault="00624E6B" w:rsidP="00A243AC">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A164BFF"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E2345"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4BD94B" w14:textId="77777777" w:rsidR="00624E6B" w:rsidRPr="00A316B2" w:rsidRDefault="00624E6B" w:rsidP="00A243AC">
            <w:pPr>
              <w:jc w:val="center"/>
              <w:rPr>
                <w:color w:val="000000"/>
                <w:lang w:eastAsia="lv-LV"/>
              </w:rPr>
            </w:pPr>
          </w:p>
        </w:tc>
      </w:tr>
      <w:tr w:rsidR="00624E6B" w:rsidRPr="00A316B2" w14:paraId="209EBCA6"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9415B" w14:textId="77777777" w:rsidR="00624E6B" w:rsidRPr="00A316B2" w:rsidRDefault="00624E6B" w:rsidP="00A243AC">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CEB99" w14:textId="77777777" w:rsidR="00624E6B" w:rsidRPr="00A316B2" w:rsidRDefault="00624E6B" w:rsidP="00A243AC">
            <w:pPr>
              <w:keepNext/>
            </w:pPr>
            <w:r w:rsidRPr="00A316B2">
              <w:t>Slēgšanas cikli/ Closing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6D16EE26" w14:textId="77777777" w:rsidR="00624E6B" w:rsidRPr="00A316B2" w:rsidRDefault="00624E6B" w:rsidP="00A243AC">
            <w:pPr>
              <w:jc w:val="center"/>
              <w:rPr>
                <w:color w:val="000000"/>
                <w:lang w:eastAsia="lv-LV"/>
              </w:rPr>
            </w:pPr>
            <w:r w:rsidRPr="00A316B2">
              <w:t>≥ 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23BB1008"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2CFDB"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CCF34E" w14:textId="77777777" w:rsidR="00624E6B" w:rsidRPr="00A316B2" w:rsidRDefault="00624E6B" w:rsidP="00A243AC">
            <w:pPr>
              <w:jc w:val="center"/>
              <w:rPr>
                <w:color w:val="000000"/>
                <w:lang w:eastAsia="lv-LV"/>
              </w:rPr>
            </w:pPr>
          </w:p>
        </w:tc>
      </w:tr>
      <w:tr w:rsidR="00624E6B" w:rsidRPr="00A316B2" w14:paraId="7E3D242A"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7E075" w14:textId="77777777" w:rsidR="00624E6B" w:rsidRPr="008B0AEF" w:rsidRDefault="00624E6B" w:rsidP="00A243AC">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AAC2B" w14:textId="77777777" w:rsidR="00624E6B" w:rsidRPr="00A316B2" w:rsidRDefault="00624E6B" w:rsidP="00A243AC">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1BA1ED"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FAC56"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0B4D"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755B52" w14:textId="77777777" w:rsidR="00624E6B" w:rsidRPr="00A316B2" w:rsidRDefault="00624E6B" w:rsidP="00A243AC">
            <w:pPr>
              <w:jc w:val="center"/>
              <w:rPr>
                <w:color w:val="000000"/>
                <w:lang w:eastAsia="lv-LV"/>
              </w:rPr>
            </w:pPr>
          </w:p>
        </w:tc>
      </w:tr>
      <w:tr w:rsidR="00624E6B" w:rsidRPr="00A316B2" w14:paraId="62AFA81A" w14:textId="77777777" w:rsidTr="00A243A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15520" w14:textId="77777777" w:rsidR="00624E6B" w:rsidRPr="00D85CEA" w:rsidRDefault="00624E6B" w:rsidP="00A243AC">
            <w:pPr>
              <w:pStyle w:val="ListParagraph"/>
              <w:numPr>
                <w:ilvl w:val="0"/>
                <w:numId w:val="3"/>
              </w:num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4B5575" w14:textId="77777777" w:rsidR="00624E6B" w:rsidRPr="00A316B2" w:rsidRDefault="00624E6B" w:rsidP="00A243AC">
            <w:pPr>
              <w:keepNext/>
            </w:pPr>
            <w:r w:rsidRPr="00DF6282">
              <w:t>Slēdzene p</w:t>
            </w:r>
            <w:r>
              <w:t xml:space="preserve">iekaramā "Cilindrs" ar </w:t>
            </w:r>
            <w:r w:rsidRPr="00A316B2">
              <w:t xml:space="preserve">trīstūrveida slēdzeni, Attēls </w:t>
            </w:r>
            <w:r>
              <w:t>1</w:t>
            </w:r>
            <w:r w:rsidRPr="00A316B2">
              <w:t xml:space="preserve">/ Padlock “Cylinder” with triangular lock, Picture </w:t>
            </w: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71A697B" w14:textId="77777777" w:rsidR="00624E6B" w:rsidRPr="00A316B2" w:rsidRDefault="00624E6B" w:rsidP="00A243AC">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B4D76CF"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D3EF50" w14:textId="77777777" w:rsidR="00624E6B" w:rsidRPr="00A316B2" w:rsidRDefault="00624E6B" w:rsidP="00A243A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90C3AE" w14:textId="77777777" w:rsidR="00624E6B" w:rsidRPr="00A316B2" w:rsidRDefault="00624E6B" w:rsidP="00A243AC">
            <w:pPr>
              <w:jc w:val="center"/>
              <w:rPr>
                <w:color w:val="000000"/>
                <w:lang w:eastAsia="lv-LV"/>
              </w:rPr>
            </w:pPr>
          </w:p>
        </w:tc>
      </w:tr>
    </w:tbl>
    <w:p w14:paraId="1470ADAE" w14:textId="77777777" w:rsidR="008B0AEF" w:rsidRDefault="008B0AEF" w:rsidP="001245BF">
      <w:pPr>
        <w:pStyle w:val="Title"/>
        <w:widowControl w:val="0"/>
        <w:rPr>
          <w:bCs w:val="0"/>
          <w:noProof/>
          <w:sz w:val="24"/>
          <w:lang w:eastAsia="lv-LV"/>
        </w:rPr>
      </w:pPr>
    </w:p>
    <w:p w14:paraId="7E773CBA" w14:textId="41C3B185" w:rsidR="001245BF" w:rsidRPr="00235C22" w:rsidRDefault="003C3289" w:rsidP="001245BF">
      <w:pPr>
        <w:pStyle w:val="Title"/>
        <w:widowControl w:val="0"/>
        <w:rPr>
          <w:bCs w:val="0"/>
          <w:noProof/>
          <w:sz w:val="24"/>
          <w:lang w:eastAsia="lv-LV"/>
        </w:rPr>
      </w:pPr>
      <w:r w:rsidRPr="00235C22">
        <w:rPr>
          <w:bCs w:val="0"/>
          <w:noProof/>
          <w:sz w:val="24"/>
          <w:lang w:eastAsia="lv-LV"/>
        </w:rPr>
        <w:t>Attēls</w:t>
      </w:r>
      <w:r w:rsidR="00C94886" w:rsidRPr="00235C22">
        <w:rPr>
          <w:bCs w:val="0"/>
          <w:noProof/>
          <w:sz w:val="24"/>
          <w:lang w:eastAsia="lv-LV"/>
        </w:rPr>
        <w:t xml:space="preserve"> 1</w:t>
      </w:r>
      <w:r w:rsidR="001245BF" w:rsidRPr="00235C22">
        <w:rPr>
          <w:bCs w:val="0"/>
          <w:noProof/>
          <w:sz w:val="24"/>
          <w:lang w:eastAsia="lv-LV"/>
        </w:rPr>
        <w:t xml:space="preserve">/ </w:t>
      </w:r>
      <w:r w:rsidR="00C94886" w:rsidRPr="00235C22">
        <w:rPr>
          <w:bCs w:val="0"/>
          <w:noProof/>
          <w:sz w:val="24"/>
          <w:lang w:eastAsia="lv-LV"/>
        </w:rPr>
        <w:t>Picture 1</w:t>
      </w:r>
      <w:r w:rsidR="001245BF" w:rsidRPr="00235C22">
        <w:rPr>
          <w:bCs w:val="0"/>
          <w:noProof/>
          <w:sz w:val="24"/>
          <w:lang w:eastAsia="lv-LV"/>
        </w:rPr>
        <w:t xml:space="preserve"> </w:t>
      </w:r>
    </w:p>
    <w:p w14:paraId="6ED94AA2" w14:textId="5895C33A" w:rsidR="00CF677B" w:rsidRPr="00235C22" w:rsidRDefault="00CF677B" w:rsidP="00F825B6">
      <w:pPr>
        <w:pStyle w:val="Title"/>
        <w:widowControl w:val="0"/>
        <w:jc w:val="left"/>
        <w:rPr>
          <w:bCs w:val="0"/>
          <w:noProof/>
          <w:sz w:val="24"/>
          <w:lang w:eastAsia="lv-LV"/>
        </w:rPr>
      </w:pPr>
    </w:p>
    <w:p w14:paraId="5162ECA9" w14:textId="26AEA768" w:rsidR="00384293" w:rsidRPr="00235C22" w:rsidRDefault="00384293" w:rsidP="00B05CFD">
      <w:pPr>
        <w:pStyle w:val="Title"/>
        <w:widowControl w:val="0"/>
        <w:rPr>
          <w:bCs w:val="0"/>
          <w:color w:val="0070C0"/>
          <w:sz w:val="24"/>
        </w:rPr>
      </w:pPr>
    </w:p>
    <w:p w14:paraId="6E230344" w14:textId="7534C309" w:rsidR="0034414A" w:rsidRPr="00235C22" w:rsidRDefault="0034414A" w:rsidP="00B05CFD">
      <w:pPr>
        <w:pStyle w:val="Title"/>
        <w:widowControl w:val="0"/>
        <w:rPr>
          <w:bCs w:val="0"/>
          <w:color w:val="0070C0"/>
          <w:sz w:val="24"/>
        </w:rPr>
      </w:pPr>
    </w:p>
    <w:p w14:paraId="6286046A" w14:textId="48004C89" w:rsidR="00946FF7" w:rsidRPr="00235C22" w:rsidRDefault="00491EBD" w:rsidP="004A58BA">
      <w:pPr>
        <w:jc w:val="center"/>
        <w:rPr>
          <w:lang w:eastAsia="lv-LV"/>
        </w:rPr>
      </w:pPr>
      <w:r w:rsidRPr="00235C22">
        <w:rPr>
          <w:noProof/>
          <w:lang w:eastAsia="lv-LV"/>
        </w:rPr>
        <w:drawing>
          <wp:inline distT="0" distB="0" distL="0" distR="0" wp14:anchorId="4E8507CC" wp14:editId="75E43A15">
            <wp:extent cx="5949537" cy="27878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825" t="21620" r="16099" b="13336"/>
                    <a:stretch/>
                  </pic:blipFill>
                  <pic:spPr bwMode="auto">
                    <a:xfrm>
                      <a:off x="0" y="0"/>
                      <a:ext cx="5979180" cy="2801762"/>
                    </a:xfrm>
                    <a:prstGeom prst="rect">
                      <a:avLst/>
                    </a:prstGeom>
                    <a:ln>
                      <a:noFill/>
                    </a:ln>
                    <a:extLst>
                      <a:ext uri="{53640926-AAD7-44D8-BBD7-CCE9431645EC}">
                        <a14:shadowObscured xmlns:a14="http://schemas.microsoft.com/office/drawing/2010/main"/>
                      </a:ext>
                    </a:extLst>
                  </pic:spPr>
                </pic:pic>
              </a:graphicData>
            </a:graphic>
          </wp:inline>
        </w:drawing>
      </w:r>
    </w:p>
    <w:p w14:paraId="04C1686A" w14:textId="3212C242" w:rsidR="00946FF7" w:rsidRDefault="00946FF7" w:rsidP="00946FF7">
      <w:pPr>
        <w:rPr>
          <w:lang w:eastAsia="lv-LV"/>
        </w:rPr>
      </w:pPr>
    </w:p>
    <w:p w14:paraId="14B3399E" w14:textId="77777777" w:rsidR="00B86EA8" w:rsidRPr="00235C22" w:rsidRDefault="00B86EA8" w:rsidP="00946FF7">
      <w:pPr>
        <w:rPr>
          <w:lang w:eastAsia="lv-LV"/>
        </w:rPr>
      </w:pPr>
    </w:p>
    <w:p w14:paraId="18793097" w14:textId="3B95D9BB" w:rsidR="00E95C0D" w:rsidRPr="00235C22" w:rsidRDefault="00E95C0D" w:rsidP="00491EBD">
      <w:pPr>
        <w:pStyle w:val="Title"/>
        <w:widowControl w:val="0"/>
        <w:jc w:val="left"/>
        <w:rPr>
          <w:b w:val="0"/>
          <w:bCs w:val="0"/>
          <w:sz w:val="24"/>
          <w:lang w:eastAsia="lv-LV"/>
        </w:rPr>
      </w:pPr>
    </w:p>
    <w:p w14:paraId="7ECEB8AA" w14:textId="6A438779" w:rsidR="00491EBD" w:rsidRDefault="00B86EA8" w:rsidP="00B86EA8">
      <w:pPr>
        <w:pStyle w:val="Title"/>
        <w:widowControl w:val="0"/>
        <w:tabs>
          <w:tab w:val="left" w:pos="1038"/>
        </w:tabs>
        <w:jc w:val="left"/>
        <w:rPr>
          <w:bCs w:val="0"/>
          <w:noProof/>
          <w:sz w:val="24"/>
          <w:lang w:eastAsia="lv-LV"/>
        </w:rPr>
      </w:pPr>
      <w:r>
        <w:rPr>
          <w:bCs w:val="0"/>
          <w:noProof/>
          <w:sz w:val="24"/>
          <w:lang w:eastAsia="lv-LV"/>
        </w:rPr>
        <w:tab/>
      </w:r>
    </w:p>
    <w:p w14:paraId="3BB1176E" w14:textId="6E190D89" w:rsidR="00B86EA8" w:rsidRDefault="00B86EA8" w:rsidP="00B86EA8">
      <w:pPr>
        <w:pStyle w:val="Title"/>
        <w:widowControl w:val="0"/>
        <w:tabs>
          <w:tab w:val="left" w:pos="1038"/>
        </w:tabs>
        <w:jc w:val="left"/>
        <w:rPr>
          <w:bCs w:val="0"/>
          <w:noProof/>
          <w:sz w:val="24"/>
          <w:lang w:eastAsia="lv-LV"/>
        </w:rPr>
      </w:pPr>
    </w:p>
    <w:p w14:paraId="52291FED" w14:textId="77777777" w:rsidR="00B86EA8" w:rsidRPr="00235C22" w:rsidRDefault="00B86EA8" w:rsidP="00B86EA8">
      <w:pPr>
        <w:pStyle w:val="Title"/>
        <w:widowControl w:val="0"/>
        <w:tabs>
          <w:tab w:val="left" w:pos="1038"/>
        </w:tabs>
        <w:jc w:val="left"/>
        <w:rPr>
          <w:bCs w:val="0"/>
          <w:noProof/>
          <w:sz w:val="24"/>
          <w:lang w:eastAsia="lv-LV"/>
        </w:rPr>
      </w:pPr>
    </w:p>
    <w:p w14:paraId="600BA7FC" w14:textId="712AC101" w:rsidR="00235C22" w:rsidRDefault="00235C22" w:rsidP="006D561C">
      <w:pPr>
        <w:pStyle w:val="Title"/>
        <w:widowControl w:val="0"/>
        <w:rPr>
          <w:bCs w:val="0"/>
          <w:noProof/>
          <w:sz w:val="24"/>
          <w:lang w:eastAsia="lv-LV"/>
        </w:rPr>
      </w:pPr>
    </w:p>
    <w:p w14:paraId="103B4179" w14:textId="4F102DDD" w:rsidR="00B86EA8" w:rsidRPr="00235C22" w:rsidRDefault="00B86EA8" w:rsidP="006D561C">
      <w:pPr>
        <w:pStyle w:val="Title"/>
        <w:widowControl w:val="0"/>
        <w:rPr>
          <w:bCs w:val="0"/>
          <w:noProof/>
          <w:sz w:val="24"/>
          <w:lang w:eastAsia="lv-LV"/>
        </w:rPr>
      </w:pPr>
      <w:r>
        <w:rPr>
          <w:bCs w:val="0"/>
          <w:noProof/>
          <w:sz w:val="24"/>
          <w:lang w:eastAsia="lv-LV"/>
        </w:rPr>
        <w:drawing>
          <wp:inline distT="0" distB="0" distL="0" distR="0" wp14:anchorId="05B3376F" wp14:editId="1139E674">
            <wp:extent cx="3827164" cy="3751974"/>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0405" cy="3755151"/>
                    </a:xfrm>
                    <a:prstGeom prst="rect">
                      <a:avLst/>
                    </a:prstGeom>
                    <a:noFill/>
                    <a:ln>
                      <a:noFill/>
                    </a:ln>
                  </pic:spPr>
                </pic:pic>
              </a:graphicData>
            </a:graphic>
          </wp:inline>
        </w:drawing>
      </w:r>
      <w:r>
        <w:rPr>
          <w:bCs w:val="0"/>
          <w:noProof/>
          <w:sz w:val="24"/>
          <w:lang w:eastAsia="lv-LV"/>
        </w:rPr>
        <w:t xml:space="preserve">  </w:t>
      </w:r>
      <w:r>
        <w:rPr>
          <w:bCs w:val="0"/>
          <w:noProof/>
          <w:sz w:val="24"/>
          <w:lang w:eastAsia="lv-LV"/>
        </w:rPr>
        <w:drawing>
          <wp:inline distT="0" distB="0" distL="0" distR="0" wp14:anchorId="42B99D84" wp14:editId="210DB54C">
            <wp:extent cx="3815256" cy="3755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846" cy="3759387"/>
                    </a:xfrm>
                    <a:prstGeom prst="rect">
                      <a:avLst/>
                    </a:prstGeom>
                    <a:noFill/>
                    <a:ln>
                      <a:noFill/>
                    </a:ln>
                  </pic:spPr>
                </pic:pic>
              </a:graphicData>
            </a:graphic>
          </wp:inline>
        </w:drawing>
      </w:r>
    </w:p>
    <w:p w14:paraId="10C69869" w14:textId="77777777" w:rsidR="00C01811" w:rsidRPr="00235C22" w:rsidRDefault="00C01811" w:rsidP="006D561C">
      <w:pPr>
        <w:pStyle w:val="Title"/>
        <w:widowControl w:val="0"/>
        <w:rPr>
          <w:bCs w:val="0"/>
          <w:noProof/>
          <w:sz w:val="24"/>
          <w:lang w:eastAsia="lv-LV"/>
        </w:rPr>
      </w:pPr>
    </w:p>
    <w:p w14:paraId="63F02431" w14:textId="7173FE6A" w:rsidR="00B86EA8" w:rsidRDefault="00B86EA8">
      <w:pPr>
        <w:spacing w:after="200" w:line="276" w:lineRule="auto"/>
        <w:rPr>
          <w:b/>
          <w:noProof/>
          <w:lang w:eastAsia="lv-LV"/>
        </w:rPr>
      </w:pPr>
    </w:p>
    <w:sectPr w:rsidR="00B86EA8" w:rsidSect="004208C8">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C4FD" w14:textId="77777777" w:rsidR="00A41290" w:rsidRDefault="00A41290" w:rsidP="00062857">
      <w:r>
        <w:separator/>
      </w:r>
    </w:p>
  </w:endnote>
  <w:endnote w:type="continuationSeparator" w:id="0">
    <w:p w14:paraId="2A47EEEF" w14:textId="77777777" w:rsidR="00A41290" w:rsidRDefault="00A4129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061E735"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6608EB">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6608EB">
      <w:rPr>
        <w:noProof/>
        <w:color w:val="000000" w:themeColor="text1"/>
        <w:sz w:val="20"/>
        <w:szCs w:val="20"/>
      </w:rPr>
      <w:t>4</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6DC8" w14:textId="77777777" w:rsidR="00A41290" w:rsidRDefault="00A41290" w:rsidP="00062857">
      <w:r>
        <w:separator/>
      </w:r>
    </w:p>
  </w:footnote>
  <w:footnote w:type="continuationSeparator" w:id="0">
    <w:p w14:paraId="1479D3C5" w14:textId="77777777" w:rsidR="00A41290" w:rsidRDefault="00A41290" w:rsidP="00062857">
      <w:r>
        <w:continuationSeparator/>
      </w:r>
    </w:p>
  </w:footnote>
  <w:footnote w:id="1">
    <w:p w14:paraId="07D0C8A3" w14:textId="77777777" w:rsidR="00624E6B" w:rsidRDefault="00624E6B" w:rsidP="00624E6B">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2">
    <w:p w14:paraId="7CDF1931" w14:textId="77777777" w:rsidR="00641A82" w:rsidRPr="00B61266" w:rsidRDefault="00641A82" w:rsidP="00641A8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5D65F85" w14:textId="77777777" w:rsidR="00641A82" w:rsidRPr="00194656" w:rsidRDefault="00641A82" w:rsidP="00641A8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C1B2863" w14:textId="77777777" w:rsidR="00641A82" w:rsidRDefault="00641A82" w:rsidP="00641A8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99E89A3" w:rsidR="00E8247B" w:rsidRPr="008B0AEF" w:rsidRDefault="008B0AEF" w:rsidP="008B0AEF">
    <w:pPr>
      <w:pStyle w:val="Header"/>
      <w:jc w:val="right"/>
    </w:pPr>
    <w:r w:rsidRPr="00C00044">
      <w:t>TS</w:t>
    </w:r>
    <w:r>
      <w:t xml:space="preserve"> 3110.0</w:t>
    </w:r>
    <w:r w:rsidR="004F5B98">
      <w:t>2</w:t>
    </w:r>
    <w:r>
      <w:t xml:space="preserve">0 </w:t>
    </w:r>
    <w:r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E661FD9"/>
    <w:multiLevelType w:val="hybridMultilevel"/>
    <w:tmpl w:val="20B66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AB1D15"/>
    <w:multiLevelType w:val="hybridMultilevel"/>
    <w:tmpl w:val="EBD62E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E53ADD"/>
    <w:multiLevelType w:val="hybridMultilevel"/>
    <w:tmpl w:val="C706AF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4737CD8"/>
    <w:multiLevelType w:val="hybridMultilevel"/>
    <w:tmpl w:val="894EE93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D362576"/>
    <w:multiLevelType w:val="hybridMultilevel"/>
    <w:tmpl w:val="D5304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8967203">
    <w:abstractNumId w:val="3"/>
  </w:num>
  <w:num w:numId="2" w16cid:durableId="965158987">
    <w:abstractNumId w:val="2"/>
  </w:num>
  <w:num w:numId="3" w16cid:durableId="1769472168">
    <w:abstractNumId w:val="0"/>
  </w:num>
  <w:num w:numId="4" w16cid:durableId="1667246721">
    <w:abstractNumId w:val="6"/>
  </w:num>
  <w:num w:numId="5" w16cid:durableId="1791896884">
    <w:abstractNumId w:val="1"/>
  </w:num>
  <w:num w:numId="6" w16cid:durableId="1721322868">
    <w:abstractNumId w:val="7"/>
  </w:num>
  <w:num w:numId="7" w16cid:durableId="1209417256">
    <w:abstractNumId w:val="4"/>
  </w:num>
  <w:num w:numId="8" w16cid:durableId="127824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F0B53"/>
    <w:rsid w:val="000F0BBD"/>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24ABB"/>
    <w:rsid w:val="00235C22"/>
    <w:rsid w:val="00243C49"/>
    <w:rsid w:val="00290FD5"/>
    <w:rsid w:val="00296B1E"/>
    <w:rsid w:val="00297EFB"/>
    <w:rsid w:val="002C28B4"/>
    <w:rsid w:val="002C59AA"/>
    <w:rsid w:val="002C624C"/>
    <w:rsid w:val="002E2665"/>
    <w:rsid w:val="002E7CD6"/>
    <w:rsid w:val="003155FB"/>
    <w:rsid w:val="00333E0F"/>
    <w:rsid w:val="0034414A"/>
    <w:rsid w:val="003709DA"/>
    <w:rsid w:val="00384293"/>
    <w:rsid w:val="003A17B6"/>
    <w:rsid w:val="003C3289"/>
    <w:rsid w:val="003E2637"/>
    <w:rsid w:val="00400122"/>
    <w:rsid w:val="004145D0"/>
    <w:rsid w:val="00415130"/>
    <w:rsid w:val="0042048E"/>
    <w:rsid w:val="004208C8"/>
    <w:rsid w:val="004277BB"/>
    <w:rsid w:val="00440859"/>
    <w:rsid w:val="00464111"/>
    <w:rsid w:val="004657D5"/>
    <w:rsid w:val="00483589"/>
    <w:rsid w:val="00484D6C"/>
    <w:rsid w:val="0049086B"/>
    <w:rsid w:val="00491EBD"/>
    <w:rsid w:val="00493824"/>
    <w:rsid w:val="004A40D7"/>
    <w:rsid w:val="004A58BA"/>
    <w:rsid w:val="004B4DE3"/>
    <w:rsid w:val="004C14EC"/>
    <w:rsid w:val="004C73CA"/>
    <w:rsid w:val="004D0ED0"/>
    <w:rsid w:val="004D58EA"/>
    <w:rsid w:val="004F5B98"/>
    <w:rsid w:val="004F6913"/>
    <w:rsid w:val="005102DF"/>
    <w:rsid w:val="00512E58"/>
    <w:rsid w:val="00514712"/>
    <w:rsid w:val="005217B0"/>
    <w:rsid w:val="00531FC7"/>
    <w:rsid w:val="005353EC"/>
    <w:rsid w:val="005407C4"/>
    <w:rsid w:val="00547C51"/>
    <w:rsid w:val="0056164A"/>
    <w:rsid w:val="005644E8"/>
    <w:rsid w:val="00566440"/>
    <w:rsid w:val="00573D72"/>
    <w:rsid w:val="005766AC"/>
    <w:rsid w:val="00584001"/>
    <w:rsid w:val="00591F1C"/>
    <w:rsid w:val="005B1B31"/>
    <w:rsid w:val="005D3F0A"/>
    <w:rsid w:val="005E1777"/>
    <w:rsid w:val="005E266C"/>
    <w:rsid w:val="005F0E78"/>
    <w:rsid w:val="00603A57"/>
    <w:rsid w:val="00624E6B"/>
    <w:rsid w:val="00625737"/>
    <w:rsid w:val="00641A82"/>
    <w:rsid w:val="0065338D"/>
    <w:rsid w:val="00654FC8"/>
    <w:rsid w:val="006608EB"/>
    <w:rsid w:val="00660981"/>
    <w:rsid w:val="006618C9"/>
    <w:rsid w:val="006648EF"/>
    <w:rsid w:val="006811D1"/>
    <w:rsid w:val="006A00C1"/>
    <w:rsid w:val="006A1F8F"/>
    <w:rsid w:val="006A64ED"/>
    <w:rsid w:val="006C44B0"/>
    <w:rsid w:val="006C6FE5"/>
    <w:rsid w:val="006C6FE8"/>
    <w:rsid w:val="006D561C"/>
    <w:rsid w:val="006D7AF6"/>
    <w:rsid w:val="00704199"/>
    <w:rsid w:val="00724DF1"/>
    <w:rsid w:val="0073458E"/>
    <w:rsid w:val="007438E4"/>
    <w:rsid w:val="007817A5"/>
    <w:rsid w:val="007A2673"/>
    <w:rsid w:val="007A4606"/>
    <w:rsid w:val="007A58F0"/>
    <w:rsid w:val="007B3913"/>
    <w:rsid w:val="007D13C7"/>
    <w:rsid w:val="007F502A"/>
    <w:rsid w:val="007F7B69"/>
    <w:rsid w:val="00820E4A"/>
    <w:rsid w:val="008232A3"/>
    <w:rsid w:val="00836842"/>
    <w:rsid w:val="008406A0"/>
    <w:rsid w:val="008469F0"/>
    <w:rsid w:val="00846BEF"/>
    <w:rsid w:val="00863D95"/>
    <w:rsid w:val="008733F0"/>
    <w:rsid w:val="00874E16"/>
    <w:rsid w:val="008A4B90"/>
    <w:rsid w:val="008A578D"/>
    <w:rsid w:val="008B0AEF"/>
    <w:rsid w:val="008B6103"/>
    <w:rsid w:val="008B79D6"/>
    <w:rsid w:val="008B7FCD"/>
    <w:rsid w:val="008C22FE"/>
    <w:rsid w:val="008C3C98"/>
    <w:rsid w:val="008D629E"/>
    <w:rsid w:val="009030B1"/>
    <w:rsid w:val="00911BC2"/>
    <w:rsid w:val="00946368"/>
    <w:rsid w:val="00946FF7"/>
    <w:rsid w:val="00974CBF"/>
    <w:rsid w:val="009919FE"/>
    <w:rsid w:val="00991D0C"/>
    <w:rsid w:val="00995AB9"/>
    <w:rsid w:val="009A18B7"/>
    <w:rsid w:val="009A4D42"/>
    <w:rsid w:val="009B6491"/>
    <w:rsid w:val="009C7654"/>
    <w:rsid w:val="00A00886"/>
    <w:rsid w:val="00A13DF1"/>
    <w:rsid w:val="00A23273"/>
    <w:rsid w:val="00A316B2"/>
    <w:rsid w:val="00A41290"/>
    <w:rsid w:val="00A43B83"/>
    <w:rsid w:val="00A44991"/>
    <w:rsid w:val="00A47506"/>
    <w:rsid w:val="00A551A1"/>
    <w:rsid w:val="00A76C6A"/>
    <w:rsid w:val="00A9525E"/>
    <w:rsid w:val="00AC5D6C"/>
    <w:rsid w:val="00AD5924"/>
    <w:rsid w:val="00AD7980"/>
    <w:rsid w:val="00AE1075"/>
    <w:rsid w:val="00AE475A"/>
    <w:rsid w:val="00B05CFD"/>
    <w:rsid w:val="00B069F0"/>
    <w:rsid w:val="00B078DD"/>
    <w:rsid w:val="00B415CF"/>
    <w:rsid w:val="00B4521F"/>
    <w:rsid w:val="00B47CCD"/>
    <w:rsid w:val="00B513DB"/>
    <w:rsid w:val="00B552AD"/>
    <w:rsid w:val="00B65859"/>
    <w:rsid w:val="00B708DA"/>
    <w:rsid w:val="00B830A8"/>
    <w:rsid w:val="00B86EA8"/>
    <w:rsid w:val="00BA5F87"/>
    <w:rsid w:val="00BA73ED"/>
    <w:rsid w:val="00BC114F"/>
    <w:rsid w:val="00BC72DC"/>
    <w:rsid w:val="00BD77FE"/>
    <w:rsid w:val="00BF163E"/>
    <w:rsid w:val="00BF5C86"/>
    <w:rsid w:val="00C00044"/>
    <w:rsid w:val="00C01811"/>
    <w:rsid w:val="00C03557"/>
    <w:rsid w:val="00C03CE6"/>
    <w:rsid w:val="00C246C8"/>
    <w:rsid w:val="00C36937"/>
    <w:rsid w:val="00C61870"/>
    <w:rsid w:val="00C66507"/>
    <w:rsid w:val="00C6792D"/>
    <w:rsid w:val="00C754C5"/>
    <w:rsid w:val="00C771ED"/>
    <w:rsid w:val="00C81CEE"/>
    <w:rsid w:val="00C87A9C"/>
    <w:rsid w:val="00C94886"/>
    <w:rsid w:val="00CA4B29"/>
    <w:rsid w:val="00CA722D"/>
    <w:rsid w:val="00CB2367"/>
    <w:rsid w:val="00CC046E"/>
    <w:rsid w:val="00CE726E"/>
    <w:rsid w:val="00CF677B"/>
    <w:rsid w:val="00D01580"/>
    <w:rsid w:val="00D07D7F"/>
    <w:rsid w:val="00D105F0"/>
    <w:rsid w:val="00D55205"/>
    <w:rsid w:val="00D730B3"/>
    <w:rsid w:val="00D74980"/>
    <w:rsid w:val="00D770FD"/>
    <w:rsid w:val="00D85CEA"/>
    <w:rsid w:val="00D86C41"/>
    <w:rsid w:val="00DB019F"/>
    <w:rsid w:val="00DF6282"/>
    <w:rsid w:val="00DF67A4"/>
    <w:rsid w:val="00E2228B"/>
    <w:rsid w:val="00E3789C"/>
    <w:rsid w:val="00E5078D"/>
    <w:rsid w:val="00E71A94"/>
    <w:rsid w:val="00E74A3A"/>
    <w:rsid w:val="00E77323"/>
    <w:rsid w:val="00E8247B"/>
    <w:rsid w:val="00E95C0D"/>
    <w:rsid w:val="00EF008D"/>
    <w:rsid w:val="00EF3CEC"/>
    <w:rsid w:val="00F009EB"/>
    <w:rsid w:val="00F145B4"/>
    <w:rsid w:val="00F14CE7"/>
    <w:rsid w:val="00F26102"/>
    <w:rsid w:val="00F370CA"/>
    <w:rsid w:val="00F445E7"/>
    <w:rsid w:val="00F45E34"/>
    <w:rsid w:val="00F52693"/>
    <w:rsid w:val="00F6054B"/>
    <w:rsid w:val="00F825B6"/>
    <w:rsid w:val="00F8325B"/>
    <w:rsid w:val="00F85F21"/>
    <w:rsid w:val="00F91377"/>
    <w:rsid w:val="00F92E36"/>
    <w:rsid w:val="00FA089E"/>
    <w:rsid w:val="00FA1CBE"/>
    <w:rsid w:val="00FD453B"/>
    <w:rsid w:val="00FD5312"/>
    <w:rsid w:val="00FD7419"/>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641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4C11-11D2-4340-B114-FCC039DC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1794</Words>
  <Characters>1024</Characters>
  <Application>Microsoft Office Word</Application>
  <DocSecurity>0</DocSecurity>
  <Lines>8</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