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1EFA" w14:textId="77777777" w:rsidR="0002188B" w:rsidRPr="00D54781" w:rsidRDefault="005F0BCD" w:rsidP="0002188B">
      <w:pPr>
        <w:widowControl w:val="0"/>
        <w:autoSpaceDE w:val="0"/>
        <w:autoSpaceDN w:val="0"/>
        <w:adjustRightInd w:val="0"/>
        <w:spacing w:after="0" w:line="240" w:lineRule="auto"/>
        <w:ind w:right="108"/>
        <w:jc w:val="right"/>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 pielikums</w:t>
      </w:r>
      <w:r w:rsidR="005C39F0" w:rsidRPr="00D54781">
        <w:rPr>
          <w:rFonts w:ascii="Times New Roman" w:eastAsiaTheme="minorEastAsia" w:hAnsi="Times New Roman" w:cs="Times New Roman"/>
          <w:sz w:val="20"/>
          <w:szCs w:val="20"/>
          <w:lang w:eastAsia="lv-LV"/>
        </w:rPr>
        <w:t xml:space="preserve"> /</w:t>
      </w:r>
    </w:p>
    <w:p w14:paraId="09F32F18" w14:textId="77777777" w:rsidR="0002188B" w:rsidRPr="00D54781" w:rsidRDefault="0002188B" w:rsidP="0002188B">
      <w:pPr>
        <w:widowControl w:val="0"/>
        <w:autoSpaceDE w:val="0"/>
        <w:autoSpaceDN w:val="0"/>
        <w:adjustRightInd w:val="0"/>
        <w:spacing w:after="0" w:line="240" w:lineRule="auto"/>
        <w:ind w:right="108"/>
        <w:jc w:val="right"/>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Līgumam Nr.</w:t>
      </w:r>
      <w:r w:rsidR="00844832" w:rsidRPr="00D54781">
        <w:t xml:space="preserve"> </w:t>
      </w:r>
      <w:r w:rsidR="00844832" w:rsidRPr="00D54781">
        <w:rPr>
          <w:rFonts w:ascii="Times New Roman" w:eastAsiaTheme="minorEastAsia" w:hAnsi="Times New Roman" w:cs="Times New Roman"/>
          <w:sz w:val="20"/>
          <w:szCs w:val="20"/>
          <w:lang w:eastAsia="lv-LV"/>
        </w:rPr>
        <w:t>____________</w:t>
      </w:r>
    </w:p>
    <w:p w14:paraId="51627021" w14:textId="77777777" w:rsidR="0002188B" w:rsidRPr="00D54781" w:rsidRDefault="0002188B" w:rsidP="0002188B">
      <w:pPr>
        <w:widowControl w:val="0"/>
        <w:autoSpaceDE w:val="0"/>
        <w:autoSpaceDN w:val="0"/>
        <w:adjustRightInd w:val="0"/>
        <w:spacing w:after="0" w:line="240" w:lineRule="auto"/>
        <w:ind w:left="113" w:right="108"/>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20__.gada __.______________</w:t>
      </w:r>
    </w:p>
    <w:p w14:paraId="4874759C" w14:textId="77777777" w:rsidR="0002188B" w:rsidRPr="00D54781" w:rsidRDefault="0002188B" w:rsidP="00607C1F">
      <w:pPr>
        <w:widowControl w:val="0"/>
        <w:autoSpaceDE w:val="0"/>
        <w:autoSpaceDN w:val="0"/>
        <w:adjustRightInd w:val="0"/>
        <w:spacing w:before="60" w:after="0" w:line="240" w:lineRule="auto"/>
        <w:ind w:right="108"/>
        <w:jc w:val="center"/>
        <w:rPr>
          <w:rFonts w:ascii="Times New Roman" w:eastAsiaTheme="minorEastAsia" w:hAnsi="Times New Roman" w:cs="Times New Roman"/>
          <w:b/>
          <w:sz w:val="20"/>
          <w:szCs w:val="20"/>
          <w:lang w:eastAsia="lv-LV"/>
        </w:rPr>
      </w:pPr>
      <w:r w:rsidRPr="00D54781">
        <w:rPr>
          <w:rFonts w:ascii="Times New Roman" w:eastAsiaTheme="minorEastAsia" w:hAnsi="Times New Roman" w:cs="Times New Roman"/>
          <w:b/>
          <w:sz w:val="20"/>
          <w:szCs w:val="20"/>
          <w:lang w:eastAsia="lv-LV"/>
        </w:rPr>
        <w:t>II daļa</w:t>
      </w:r>
    </w:p>
    <w:p w14:paraId="36D0B06C" w14:textId="77777777" w:rsidR="0002188B" w:rsidRPr="00D54781" w:rsidRDefault="00915D83" w:rsidP="0002188B">
      <w:pPr>
        <w:widowControl w:val="0"/>
        <w:autoSpaceDE w:val="0"/>
        <w:autoSpaceDN w:val="0"/>
        <w:adjustRightInd w:val="0"/>
        <w:spacing w:after="0" w:line="240" w:lineRule="auto"/>
        <w:ind w:right="108"/>
        <w:jc w:val="center"/>
        <w:rPr>
          <w:rFonts w:ascii="Times New Roman" w:eastAsiaTheme="minorEastAsia" w:hAnsi="Times New Roman" w:cs="Times New Roman"/>
          <w:b/>
          <w:sz w:val="20"/>
          <w:szCs w:val="20"/>
          <w:lang w:eastAsia="lv-LV"/>
        </w:rPr>
      </w:pPr>
      <w:r w:rsidRPr="00D54781">
        <w:rPr>
          <w:rFonts w:ascii="Times New Roman" w:eastAsiaTheme="minorEastAsia" w:hAnsi="Times New Roman" w:cs="Times New Roman"/>
          <w:b/>
          <w:sz w:val="20"/>
          <w:szCs w:val="20"/>
          <w:lang w:eastAsia="lv-LV"/>
        </w:rPr>
        <w:t>S</w:t>
      </w:r>
      <w:r w:rsidR="0002188B" w:rsidRPr="00D54781">
        <w:rPr>
          <w:rFonts w:ascii="Times New Roman" w:eastAsiaTheme="minorEastAsia" w:hAnsi="Times New Roman" w:cs="Times New Roman"/>
          <w:b/>
          <w:sz w:val="20"/>
          <w:szCs w:val="20"/>
          <w:lang w:eastAsia="lv-LV"/>
        </w:rPr>
        <w:t>peciālie noteikumi</w:t>
      </w:r>
    </w:p>
    <w:p w14:paraId="7F0CF566" w14:textId="77777777" w:rsidR="0002188B" w:rsidRPr="00D54781" w:rsidRDefault="0002188B" w:rsidP="00333B89">
      <w:pPr>
        <w:widowControl w:val="0"/>
        <w:autoSpaceDE w:val="0"/>
        <w:autoSpaceDN w:val="0"/>
        <w:adjustRightInd w:val="0"/>
        <w:spacing w:after="0" w:line="240" w:lineRule="auto"/>
        <w:ind w:right="108"/>
        <w:rPr>
          <w:rFonts w:ascii="Times New Roman" w:eastAsiaTheme="minorEastAsia" w:hAnsi="Times New Roman" w:cs="Times New Roman"/>
          <w:sz w:val="20"/>
          <w:szCs w:val="20"/>
          <w:lang w:eastAsia="lv-LV"/>
        </w:rPr>
      </w:pPr>
    </w:p>
    <w:tbl>
      <w:tblPr>
        <w:tblStyle w:val="TableGrid"/>
        <w:tblW w:w="0" w:type="auto"/>
        <w:tblInd w:w="142" w:type="dxa"/>
        <w:tblLook w:val="04A0" w:firstRow="1" w:lastRow="0" w:firstColumn="1" w:lastColumn="0" w:noHBand="0" w:noVBand="1"/>
      </w:tblPr>
      <w:tblGrid>
        <w:gridCol w:w="772"/>
        <w:gridCol w:w="1916"/>
        <w:gridCol w:w="1946"/>
        <w:gridCol w:w="2562"/>
        <w:gridCol w:w="2800"/>
      </w:tblGrid>
      <w:tr w:rsidR="00D54781" w:rsidRPr="00D54781" w14:paraId="4399DF39" w14:textId="77777777" w:rsidTr="000C34F7">
        <w:tc>
          <w:tcPr>
            <w:tcW w:w="9996" w:type="dxa"/>
            <w:gridSpan w:val="5"/>
            <w:shd w:val="clear" w:color="auto" w:fill="BFBFBF" w:themeFill="background1" w:themeFillShade="BF"/>
          </w:tcPr>
          <w:p w14:paraId="2F2F45EA" w14:textId="77777777" w:rsidR="007F20D9" w:rsidRPr="00D54781" w:rsidRDefault="00B65890" w:rsidP="001164AF">
            <w:pPr>
              <w:widowControl w:val="0"/>
              <w:autoSpaceDE w:val="0"/>
              <w:autoSpaceDN w:val="0"/>
              <w:adjustRightInd w:val="0"/>
              <w:ind w:right="105"/>
              <w:jc w:val="both"/>
              <w:rPr>
                <w:rFonts w:ascii="Times New Roman" w:eastAsiaTheme="minorEastAsia" w:hAnsi="Times New Roman" w:cs="Times New Roman"/>
                <w:b/>
                <w:sz w:val="20"/>
                <w:szCs w:val="20"/>
                <w:lang w:eastAsia="lv-LV"/>
              </w:rPr>
            </w:pPr>
            <w:r w:rsidRPr="00D54781">
              <w:rPr>
                <w:rFonts w:ascii="Times New Roman" w:eastAsiaTheme="minorEastAsia" w:hAnsi="Times New Roman" w:cs="Times New Roman"/>
                <w:b/>
                <w:sz w:val="20"/>
                <w:szCs w:val="20"/>
                <w:lang w:eastAsia="lv-LV"/>
              </w:rPr>
              <w:t xml:space="preserve">1. </w:t>
            </w:r>
            <w:r w:rsidR="00584866" w:rsidRPr="00D54781">
              <w:rPr>
                <w:rFonts w:ascii="Times New Roman" w:eastAsiaTheme="minorEastAsia" w:hAnsi="Times New Roman" w:cs="Times New Roman"/>
                <w:b/>
                <w:sz w:val="20"/>
                <w:szCs w:val="20"/>
                <w:lang w:eastAsia="lv-LV"/>
              </w:rPr>
              <w:t xml:space="preserve">Informācija par </w:t>
            </w:r>
            <w:r w:rsidR="001164AF" w:rsidRPr="00D54781">
              <w:rPr>
                <w:rFonts w:ascii="Times New Roman" w:eastAsiaTheme="minorEastAsia" w:hAnsi="Times New Roman" w:cs="Times New Roman"/>
                <w:b/>
                <w:sz w:val="20"/>
                <w:szCs w:val="20"/>
                <w:lang w:eastAsia="lv-LV"/>
              </w:rPr>
              <w:t>objekta pieslēgumu</w:t>
            </w:r>
            <w:r w:rsidRPr="00D54781">
              <w:rPr>
                <w:rFonts w:ascii="Times New Roman" w:eastAsiaTheme="minorEastAsia" w:hAnsi="Times New Roman" w:cs="Times New Roman"/>
                <w:b/>
                <w:sz w:val="20"/>
                <w:szCs w:val="20"/>
                <w:lang w:eastAsia="lv-LV"/>
              </w:rPr>
              <w:t xml:space="preserve">, </w:t>
            </w:r>
            <w:r w:rsidR="001164AF" w:rsidRPr="00D54781">
              <w:rPr>
                <w:rFonts w:ascii="Times New Roman" w:eastAsiaTheme="minorEastAsia" w:hAnsi="Times New Roman" w:cs="Times New Roman"/>
                <w:b/>
                <w:sz w:val="20"/>
                <w:szCs w:val="20"/>
                <w:lang w:eastAsia="lv-LV"/>
              </w:rPr>
              <w:t xml:space="preserve">tā tehniskajiem parametriem un </w:t>
            </w:r>
            <w:r w:rsidR="007F20D9" w:rsidRPr="00D54781">
              <w:rPr>
                <w:rFonts w:ascii="Times New Roman" w:eastAsiaTheme="minorEastAsia" w:hAnsi="Times New Roman" w:cs="Times New Roman"/>
                <w:b/>
                <w:sz w:val="20"/>
                <w:szCs w:val="20"/>
                <w:lang w:eastAsia="lv-LV"/>
              </w:rPr>
              <w:t>elektroietaišu piederības robež</w:t>
            </w:r>
            <w:r w:rsidR="001164AF" w:rsidRPr="00D54781">
              <w:rPr>
                <w:rFonts w:ascii="Times New Roman" w:eastAsiaTheme="minorEastAsia" w:hAnsi="Times New Roman" w:cs="Times New Roman"/>
                <w:b/>
                <w:sz w:val="20"/>
                <w:szCs w:val="20"/>
                <w:lang w:eastAsia="lv-LV"/>
              </w:rPr>
              <w:t>u</w:t>
            </w:r>
          </w:p>
        </w:tc>
      </w:tr>
      <w:tr w:rsidR="00D54781" w:rsidRPr="00D54781" w14:paraId="48EC0162" w14:textId="77777777" w:rsidTr="000A5A7A">
        <w:tc>
          <w:tcPr>
            <w:tcW w:w="4634" w:type="dxa"/>
            <w:gridSpan w:val="3"/>
          </w:tcPr>
          <w:p w14:paraId="011576E9" w14:textId="77777777" w:rsidR="0002188B" w:rsidRPr="00D54781" w:rsidRDefault="007F20D9" w:rsidP="004442D5">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1.1. </w:t>
            </w:r>
            <w:r w:rsidR="004442D5" w:rsidRPr="00D54781">
              <w:rPr>
                <w:rFonts w:ascii="Times New Roman" w:eastAsiaTheme="minorEastAsia" w:hAnsi="Times New Roman" w:cs="Times New Roman"/>
                <w:sz w:val="20"/>
                <w:szCs w:val="20"/>
                <w:lang w:eastAsia="lv-LV"/>
              </w:rPr>
              <w:t>Objekts</w:t>
            </w:r>
          </w:p>
        </w:tc>
        <w:tc>
          <w:tcPr>
            <w:tcW w:w="5362" w:type="dxa"/>
            <w:gridSpan w:val="2"/>
          </w:tcPr>
          <w:p w14:paraId="2F7F7D05" w14:textId="77777777" w:rsidR="0002188B" w:rsidRPr="008220AB"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1C7D2397" w14:textId="77777777" w:rsidTr="000A5A7A">
        <w:tc>
          <w:tcPr>
            <w:tcW w:w="4634" w:type="dxa"/>
            <w:gridSpan w:val="3"/>
          </w:tcPr>
          <w:p w14:paraId="20FDE668" w14:textId="77777777" w:rsidR="007F20D9" w:rsidRPr="00D54781" w:rsidRDefault="007F20D9"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1.2. </w:t>
            </w:r>
            <w:r w:rsidR="004442D5" w:rsidRPr="00D54781">
              <w:rPr>
                <w:rFonts w:ascii="Times New Roman" w:eastAsiaTheme="minorEastAsia" w:hAnsi="Times New Roman" w:cs="Times New Roman"/>
                <w:sz w:val="20"/>
                <w:szCs w:val="20"/>
                <w:lang w:eastAsia="lv-LV"/>
              </w:rPr>
              <w:t>Objekta</w:t>
            </w:r>
            <w:r w:rsidRPr="00D54781">
              <w:rPr>
                <w:rFonts w:ascii="Times New Roman" w:eastAsiaTheme="minorEastAsia" w:hAnsi="Times New Roman" w:cs="Times New Roman"/>
                <w:sz w:val="20"/>
                <w:szCs w:val="20"/>
                <w:lang w:eastAsia="lv-LV"/>
              </w:rPr>
              <w:t xml:space="preserve"> enerģijas identifikācijas kods (EIK)</w:t>
            </w:r>
          </w:p>
        </w:tc>
        <w:tc>
          <w:tcPr>
            <w:tcW w:w="5362" w:type="dxa"/>
            <w:gridSpan w:val="2"/>
          </w:tcPr>
          <w:p w14:paraId="477CDED3" w14:textId="77777777" w:rsidR="007F20D9" w:rsidRPr="008220AB" w:rsidRDefault="007F20D9"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0E9091DA" w14:textId="77777777" w:rsidTr="000A5A7A">
        <w:tc>
          <w:tcPr>
            <w:tcW w:w="4634" w:type="dxa"/>
            <w:gridSpan w:val="3"/>
          </w:tcPr>
          <w:p w14:paraId="07CB10A8" w14:textId="77777777" w:rsidR="0002188B" w:rsidRPr="00D54781" w:rsidRDefault="0002188B" w:rsidP="00B57A9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3</w:t>
            </w:r>
            <w:r w:rsidRPr="00D54781">
              <w:rPr>
                <w:rFonts w:ascii="Times New Roman" w:eastAsiaTheme="minorEastAsia" w:hAnsi="Times New Roman" w:cs="Times New Roman"/>
                <w:sz w:val="20"/>
                <w:szCs w:val="20"/>
                <w:lang w:eastAsia="lv-LV"/>
              </w:rPr>
              <w:t xml:space="preserve">. </w:t>
            </w:r>
            <w:r w:rsidRPr="004334F3">
              <w:rPr>
                <w:rFonts w:ascii="Times New Roman" w:eastAsiaTheme="minorEastAsia" w:hAnsi="Times New Roman" w:cs="Times New Roman"/>
                <w:sz w:val="20"/>
                <w:szCs w:val="20"/>
                <w:lang w:eastAsia="lv-LV"/>
              </w:rPr>
              <w:t>Si</w:t>
            </w:r>
            <w:r w:rsidR="007F20D9" w:rsidRPr="004334F3">
              <w:rPr>
                <w:rFonts w:ascii="Times New Roman" w:eastAsiaTheme="minorEastAsia" w:hAnsi="Times New Roman" w:cs="Times New Roman"/>
                <w:sz w:val="20"/>
                <w:szCs w:val="20"/>
                <w:lang w:eastAsia="lv-LV"/>
              </w:rPr>
              <w:t xml:space="preserve">stēmas </w:t>
            </w:r>
            <w:r w:rsidR="006C09BA" w:rsidRPr="004334F3">
              <w:rPr>
                <w:rFonts w:ascii="Times New Roman" w:eastAsiaTheme="minorEastAsia" w:hAnsi="Times New Roman" w:cs="Times New Roman"/>
                <w:sz w:val="20"/>
                <w:szCs w:val="20"/>
                <w:lang w:eastAsia="lv-LV"/>
              </w:rPr>
              <w:t xml:space="preserve">pakalpojumi </w:t>
            </w:r>
            <w:r w:rsidR="006570A8" w:rsidRPr="004334F3">
              <w:rPr>
                <w:rFonts w:ascii="Times New Roman" w:eastAsiaTheme="minorEastAsia" w:hAnsi="Times New Roman" w:cs="Times New Roman"/>
                <w:sz w:val="20"/>
                <w:szCs w:val="20"/>
                <w:lang w:eastAsia="lv-LV"/>
              </w:rPr>
              <w:t xml:space="preserve">objektā </w:t>
            </w:r>
            <w:r w:rsidR="00726037" w:rsidRPr="004334F3">
              <w:rPr>
                <w:rFonts w:ascii="Times New Roman" w:eastAsiaTheme="minorEastAsia" w:hAnsi="Times New Roman" w:cs="Times New Roman"/>
                <w:sz w:val="20"/>
                <w:szCs w:val="20"/>
                <w:lang w:eastAsia="lv-LV"/>
              </w:rPr>
              <w:t xml:space="preserve">ir </w:t>
            </w:r>
            <w:r w:rsidR="007F20D9" w:rsidRPr="004334F3">
              <w:rPr>
                <w:rFonts w:ascii="Times New Roman" w:eastAsiaTheme="minorEastAsia" w:hAnsi="Times New Roman" w:cs="Times New Roman"/>
                <w:sz w:val="20"/>
                <w:szCs w:val="20"/>
                <w:lang w:eastAsia="lv-LV"/>
              </w:rPr>
              <w:t>uzsākt</w:t>
            </w:r>
            <w:r w:rsidR="00900942" w:rsidRPr="004334F3">
              <w:rPr>
                <w:rFonts w:ascii="Times New Roman" w:eastAsiaTheme="minorEastAsia" w:hAnsi="Times New Roman" w:cs="Times New Roman"/>
                <w:sz w:val="20"/>
                <w:szCs w:val="20"/>
                <w:lang w:eastAsia="lv-LV"/>
              </w:rPr>
              <w:t>i</w:t>
            </w:r>
            <w:r w:rsidR="00343203" w:rsidRPr="004334F3">
              <w:rPr>
                <w:rFonts w:ascii="Times New Roman" w:eastAsiaTheme="minorEastAsia" w:hAnsi="Times New Roman" w:cs="Times New Roman"/>
                <w:sz w:val="20"/>
                <w:szCs w:val="20"/>
                <w:lang w:eastAsia="lv-LV"/>
              </w:rPr>
              <w:t xml:space="preserve"> un tiek nodrošināti līdz (</w:t>
            </w:r>
            <w:r w:rsidR="00B57A96" w:rsidRPr="004334F3">
              <w:rPr>
                <w:rFonts w:ascii="Times New Roman" w:eastAsiaTheme="minorEastAsia" w:hAnsi="Times New Roman" w:cs="Times New Roman"/>
                <w:sz w:val="20"/>
                <w:szCs w:val="20"/>
                <w:lang w:eastAsia="lv-LV"/>
              </w:rPr>
              <w:t xml:space="preserve">ja </w:t>
            </w:r>
            <w:r w:rsidR="00EB403C" w:rsidRPr="004334F3">
              <w:rPr>
                <w:rFonts w:ascii="Times New Roman" w:eastAsiaTheme="minorEastAsia" w:hAnsi="Times New Roman" w:cs="Times New Roman"/>
                <w:sz w:val="20"/>
                <w:szCs w:val="20"/>
                <w:lang w:eastAsia="lv-LV"/>
              </w:rPr>
              <w:t>Līgum</w:t>
            </w:r>
            <w:r w:rsidR="00B57A96" w:rsidRPr="004334F3">
              <w:rPr>
                <w:rFonts w:ascii="Times New Roman" w:eastAsiaTheme="minorEastAsia" w:hAnsi="Times New Roman" w:cs="Times New Roman"/>
                <w:sz w:val="20"/>
                <w:szCs w:val="20"/>
                <w:lang w:eastAsia="lv-LV"/>
              </w:rPr>
              <w:t>s ir terminēts</w:t>
            </w:r>
            <w:r w:rsidR="00343203" w:rsidRPr="004334F3">
              <w:rPr>
                <w:rFonts w:ascii="Times New Roman" w:eastAsiaTheme="minorEastAsia" w:hAnsi="Times New Roman" w:cs="Times New Roman"/>
                <w:sz w:val="20"/>
                <w:szCs w:val="20"/>
                <w:lang w:eastAsia="lv-LV"/>
              </w:rPr>
              <w:t>)</w:t>
            </w:r>
          </w:p>
        </w:tc>
        <w:tc>
          <w:tcPr>
            <w:tcW w:w="5362" w:type="dxa"/>
            <w:gridSpan w:val="2"/>
          </w:tcPr>
          <w:p w14:paraId="144AA45F" w14:textId="77777777" w:rsidR="00343203" w:rsidRPr="008220AB" w:rsidRDefault="00343203" w:rsidP="00726037">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343203" w:rsidRPr="00D54781" w14:paraId="29C67E84" w14:textId="77777777" w:rsidTr="00343203">
        <w:trPr>
          <w:trHeight w:val="136"/>
        </w:trPr>
        <w:tc>
          <w:tcPr>
            <w:tcW w:w="4634" w:type="dxa"/>
            <w:gridSpan w:val="3"/>
          </w:tcPr>
          <w:p w14:paraId="5B381AA8" w14:textId="77777777" w:rsidR="00343203" w:rsidRPr="00D54781" w:rsidRDefault="00343203" w:rsidP="00163AEC">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1.4. </w:t>
            </w:r>
            <w:r w:rsidRPr="004334F3">
              <w:rPr>
                <w:rFonts w:ascii="Times New Roman" w:eastAsiaTheme="minorEastAsia" w:hAnsi="Times New Roman" w:cs="Times New Roman"/>
                <w:sz w:val="20"/>
                <w:szCs w:val="20"/>
                <w:lang w:eastAsia="lv-LV"/>
              </w:rPr>
              <w:t>SSO sistēmas pakalpojumu diferencētais tarifs</w:t>
            </w:r>
          </w:p>
        </w:tc>
        <w:tc>
          <w:tcPr>
            <w:tcW w:w="2562" w:type="dxa"/>
          </w:tcPr>
          <w:p w14:paraId="12637D4B" w14:textId="77777777" w:rsidR="00343203" w:rsidRPr="008220AB" w:rsidRDefault="00343203" w:rsidP="00436030">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0DCA6D0F" w14:textId="77777777" w:rsidR="00343203" w:rsidRPr="008220AB" w:rsidRDefault="00343203" w:rsidP="00CF7DD8">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27624F23" w14:textId="77777777" w:rsidTr="009E162E">
        <w:trPr>
          <w:trHeight w:val="179"/>
        </w:trPr>
        <w:tc>
          <w:tcPr>
            <w:tcW w:w="4634" w:type="dxa"/>
            <w:gridSpan w:val="3"/>
          </w:tcPr>
          <w:p w14:paraId="3EF04BEB" w14:textId="77777777" w:rsidR="005E5577" w:rsidRPr="00D54781" w:rsidRDefault="005E5577" w:rsidP="00092FA5">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1.5. Objekta pieslēguma fāžu skaits</w:t>
            </w:r>
            <w:r w:rsidR="008220AB">
              <w:rPr>
                <w:rFonts w:ascii="Times New Roman" w:eastAsiaTheme="minorEastAsia" w:hAnsi="Times New Roman" w:cs="Times New Roman"/>
                <w:sz w:val="20"/>
                <w:szCs w:val="20"/>
                <w:lang w:eastAsia="lv-LV"/>
              </w:rPr>
              <w:t xml:space="preserve"> un</w:t>
            </w:r>
            <w:r w:rsidRPr="00D54781">
              <w:rPr>
                <w:rFonts w:ascii="Times New Roman" w:eastAsiaTheme="minorEastAsia" w:hAnsi="Times New Roman" w:cs="Times New Roman"/>
                <w:sz w:val="20"/>
                <w:szCs w:val="20"/>
                <w:lang w:eastAsia="lv-LV"/>
              </w:rPr>
              <w:t xml:space="preserve"> </w:t>
            </w:r>
            <w:r w:rsidR="00CF7DD8" w:rsidRPr="00D54781">
              <w:rPr>
                <w:rFonts w:ascii="Times New Roman" w:eastAsiaTheme="minorEastAsia" w:hAnsi="Times New Roman" w:cs="Times New Roman"/>
                <w:sz w:val="20"/>
                <w:szCs w:val="20"/>
                <w:lang w:eastAsia="lv-LV"/>
              </w:rPr>
              <w:t xml:space="preserve">pieslēguma </w:t>
            </w:r>
            <w:r w:rsidRPr="00D54781">
              <w:rPr>
                <w:rFonts w:ascii="Times New Roman" w:eastAsiaTheme="minorEastAsia" w:hAnsi="Times New Roman" w:cs="Times New Roman"/>
                <w:sz w:val="20"/>
                <w:szCs w:val="20"/>
                <w:lang w:eastAsia="lv-LV"/>
              </w:rPr>
              <w:t>spriegums kilovoltos</w:t>
            </w:r>
          </w:p>
        </w:tc>
        <w:tc>
          <w:tcPr>
            <w:tcW w:w="2562" w:type="dxa"/>
          </w:tcPr>
          <w:p w14:paraId="239D5887" w14:textId="77777777" w:rsidR="005E5577" w:rsidRPr="008220AB" w:rsidRDefault="005E5577" w:rsidP="00D66E6D">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665A0AEF" w14:textId="77777777" w:rsidR="005E5577" w:rsidRPr="008220AB" w:rsidRDefault="005E5577" w:rsidP="00333B89">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09691A2B" w14:textId="77777777" w:rsidTr="009E162E">
        <w:trPr>
          <w:trHeight w:val="265"/>
        </w:trPr>
        <w:tc>
          <w:tcPr>
            <w:tcW w:w="4634" w:type="dxa"/>
            <w:gridSpan w:val="3"/>
          </w:tcPr>
          <w:p w14:paraId="0182C32B" w14:textId="77777777" w:rsidR="009E162E" w:rsidRPr="00D54781" w:rsidRDefault="009E162E" w:rsidP="00092FA5">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1.6. </w:t>
            </w:r>
            <w:r w:rsidRPr="004334F3">
              <w:rPr>
                <w:rFonts w:ascii="Times New Roman" w:eastAsiaTheme="minorEastAsia" w:hAnsi="Times New Roman" w:cs="Times New Roman"/>
                <w:sz w:val="20"/>
                <w:szCs w:val="20"/>
                <w:lang w:eastAsia="lv-LV"/>
              </w:rPr>
              <w:t>Objekta pieslēgumā atļautā maksimālā slodze kilovatos</w:t>
            </w:r>
            <w:r w:rsidR="00C74ADF" w:rsidRPr="004334F3">
              <w:rPr>
                <w:rFonts w:ascii="Times New Roman" w:eastAsiaTheme="minorEastAsia" w:hAnsi="Times New Roman" w:cs="Times New Roman"/>
                <w:sz w:val="20"/>
                <w:szCs w:val="20"/>
                <w:lang w:eastAsia="lv-LV"/>
              </w:rPr>
              <w:t xml:space="preserve"> (</w:t>
            </w:r>
            <w:r w:rsidR="00092FA5">
              <w:rPr>
                <w:rFonts w:ascii="Times New Roman" w:eastAsiaTheme="minorEastAsia" w:hAnsi="Times New Roman" w:cs="Times New Roman"/>
                <w:sz w:val="20"/>
                <w:szCs w:val="20"/>
                <w:lang w:eastAsia="lv-LV"/>
              </w:rPr>
              <w:t>6-20kV elektrotīklā</w:t>
            </w:r>
            <w:r w:rsidR="00C74ADF" w:rsidRPr="004334F3">
              <w:rPr>
                <w:rFonts w:ascii="Times New Roman" w:eastAsiaTheme="minorEastAsia" w:hAnsi="Times New Roman" w:cs="Times New Roman"/>
                <w:sz w:val="20"/>
                <w:szCs w:val="20"/>
                <w:lang w:eastAsia="lv-LV"/>
              </w:rPr>
              <w:t>)</w:t>
            </w:r>
            <w:r w:rsidR="00CF7DD8" w:rsidRPr="004334F3">
              <w:rPr>
                <w:rFonts w:ascii="Times New Roman" w:eastAsiaTheme="minorEastAsia" w:hAnsi="Times New Roman" w:cs="Times New Roman"/>
                <w:sz w:val="20"/>
                <w:szCs w:val="20"/>
                <w:lang w:eastAsia="lv-LV"/>
              </w:rPr>
              <w:t xml:space="preserve"> </w:t>
            </w:r>
            <w:r w:rsidRPr="004334F3">
              <w:rPr>
                <w:rFonts w:ascii="Times New Roman" w:eastAsiaTheme="minorEastAsia" w:hAnsi="Times New Roman" w:cs="Times New Roman"/>
                <w:sz w:val="20"/>
                <w:szCs w:val="20"/>
                <w:lang w:eastAsia="lv-LV"/>
              </w:rPr>
              <w:t xml:space="preserve"> un </w:t>
            </w:r>
            <w:proofErr w:type="spellStart"/>
            <w:r w:rsidRPr="004334F3">
              <w:rPr>
                <w:rFonts w:ascii="Times New Roman" w:eastAsiaTheme="minorEastAsia" w:hAnsi="Times New Roman" w:cs="Times New Roman"/>
                <w:sz w:val="20"/>
                <w:szCs w:val="20"/>
                <w:lang w:eastAsia="lv-LV"/>
              </w:rPr>
              <w:t>ievadaizsardzības</w:t>
            </w:r>
            <w:proofErr w:type="spellEnd"/>
            <w:r w:rsidRPr="004334F3">
              <w:rPr>
                <w:rFonts w:ascii="Times New Roman" w:eastAsiaTheme="minorEastAsia" w:hAnsi="Times New Roman" w:cs="Times New Roman"/>
                <w:sz w:val="20"/>
                <w:szCs w:val="20"/>
                <w:lang w:eastAsia="lv-LV"/>
              </w:rPr>
              <w:t xml:space="preserve"> aparāta nominālās strāvas lielums ampēros</w:t>
            </w:r>
            <w:r w:rsidR="0087762E">
              <w:rPr>
                <w:rFonts w:ascii="Times New Roman" w:eastAsiaTheme="minorEastAsia" w:hAnsi="Times New Roman" w:cs="Times New Roman"/>
                <w:sz w:val="20"/>
                <w:szCs w:val="20"/>
                <w:lang w:eastAsia="lv-LV"/>
              </w:rPr>
              <w:t xml:space="preserve"> (0,4</w:t>
            </w:r>
            <w:r w:rsidR="00092FA5">
              <w:rPr>
                <w:rFonts w:ascii="Times New Roman" w:eastAsiaTheme="minorEastAsia" w:hAnsi="Times New Roman" w:cs="Times New Roman"/>
                <w:sz w:val="20"/>
                <w:szCs w:val="20"/>
                <w:lang w:eastAsia="lv-LV"/>
              </w:rPr>
              <w:t xml:space="preserve">kV </w:t>
            </w:r>
            <w:r w:rsidR="004334F3" w:rsidRPr="004334F3">
              <w:rPr>
                <w:rFonts w:ascii="Times New Roman" w:eastAsiaTheme="minorEastAsia" w:hAnsi="Times New Roman" w:cs="Times New Roman"/>
                <w:sz w:val="20"/>
                <w:szCs w:val="20"/>
                <w:lang w:eastAsia="lv-LV"/>
              </w:rPr>
              <w:t>elektrotīklā)</w:t>
            </w:r>
          </w:p>
        </w:tc>
        <w:tc>
          <w:tcPr>
            <w:tcW w:w="2562" w:type="dxa"/>
          </w:tcPr>
          <w:p w14:paraId="1085E6BF" w14:textId="77777777" w:rsidR="009E162E" w:rsidRPr="008220AB" w:rsidRDefault="009E162E" w:rsidP="007D6D41">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7BF1E19C" w14:textId="77777777" w:rsidR="009E162E" w:rsidRPr="008220AB" w:rsidRDefault="009E162E" w:rsidP="009E162E">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2BEF5819" w14:textId="77777777" w:rsidTr="00333B89">
        <w:tc>
          <w:tcPr>
            <w:tcW w:w="9996" w:type="dxa"/>
            <w:gridSpan w:val="5"/>
          </w:tcPr>
          <w:p w14:paraId="201DA27D" w14:textId="77777777" w:rsidR="0002188B" w:rsidRPr="00D54781" w:rsidRDefault="0002188B" w:rsidP="00F43EC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7</w:t>
            </w:r>
            <w:r w:rsidRPr="00D54781">
              <w:rPr>
                <w:rFonts w:ascii="Times New Roman" w:eastAsiaTheme="minorEastAsia" w:hAnsi="Times New Roman" w:cs="Times New Roman"/>
                <w:sz w:val="20"/>
                <w:szCs w:val="20"/>
                <w:lang w:eastAsia="lv-LV"/>
              </w:rPr>
              <w:t xml:space="preserve">. </w:t>
            </w:r>
            <w:r w:rsidR="00B65890" w:rsidRPr="00D54781">
              <w:rPr>
                <w:rFonts w:ascii="Times New Roman" w:eastAsiaTheme="minorEastAsia" w:hAnsi="Times New Roman" w:cs="Times New Roman"/>
                <w:sz w:val="20"/>
                <w:szCs w:val="20"/>
                <w:lang w:eastAsia="lv-LV"/>
              </w:rPr>
              <w:t xml:space="preserve">Citi </w:t>
            </w:r>
            <w:r w:rsidR="00F43EC6" w:rsidRPr="00D54781">
              <w:rPr>
                <w:rFonts w:ascii="Times New Roman" w:eastAsiaTheme="minorEastAsia" w:hAnsi="Times New Roman" w:cs="Times New Roman"/>
                <w:sz w:val="20"/>
                <w:szCs w:val="20"/>
                <w:lang w:eastAsia="lv-LV"/>
              </w:rPr>
              <w:t xml:space="preserve">objekta </w:t>
            </w:r>
            <w:r w:rsidRPr="00D54781">
              <w:rPr>
                <w:rFonts w:ascii="Times New Roman" w:eastAsiaTheme="minorEastAsia" w:hAnsi="Times New Roman" w:cs="Times New Roman"/>
                <w:sz w:val="20"/>
                <w:szCs w:val="20"/>
                <w:lang w:eastAsia="lv-LV"/>
              </w:rPr>
              <w:t>pieslēgum</w:t>
            </w:r>
            <w:r w:rsidR="00B65890" w:rsidRPr="00D54781">
              <w:rPr>
                <w:rFonts w:ascii="Times New Roman" w:eastAsiaTheme="minorEastAsia" w:hAnsi="Times New Roman" w:cs="Times New Roman"/>
                <w:sz w:val="20"/>
                <w:szCs w:val="20"/>
                <w:lang w:eastAsia="lv-LV"/>
              </w:rPr>
              <w:t>a tehniskie parametri</w:t>
            </w:r>
            <w:r w:rsidRPr="00D54781">
              <w:rPr>
                <w:rFonts w:ascii="Times New Roman" w:eastAsiaTheme="minorEastAsia" w:hAnsi="Times New Roman" w:cs="Times New Roman"/>
                <w:sz w:val="20"/>
                <w:szCs w:val="20"/>
                <w:lang w:eastAsia="lv-LV"/>
              </w:rPr>
              <w:t>:</w:t>
            </w:r>
          </w:p>
        </w:tc>
      </w:tr>
      <w:tr w:rsidR="00D54781" w:rsidRPr="00D54781" w14:paraId="3CD2B583" w14:textId="77777777" w:rsidTr="009E162E">
        <w:tc>
          <w:tcPr>
            <w:tcW w:w="772" w:type="dxa"/>
          </w:tcPr>
          <w:p w14:paraId="181383E3"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i/>
                <w:sz w:val="20"/>
                <w:szCs w:val="20"/>
                <w:lang w:eastAsia="lv-LV"/>
              </w:rPr>
            </w:pPr>
          </w:p>
        </w:tc>
        <w:tc>
          <w:tcPr>
            <w:tcW w:w="1916" w:type="dxa"/>
          </w:tcPr>
          <w:p w14:paraId="3FB755E9"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i/>
                <w:sz w:val="20"/>
                <w:szCs w:val="20"/>
                <w:lang w:eastAsia="lv-LV"/>
              </w:rPr>
              <w:t>mērījumu punkts (MP)</w:t>
            </w:r>
          </w:p>
        </w:tc>
        <w:tc>
          <w:tcPr>
            <w:tcW w:w="1946" w:type="dxa"/>
          </w:tcPr>
          <w:p w14:paraId="77679931"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i/>
                <w:sz w:val="20"/>
                <w:szCs w:val="20"/>
                <w:lang w:eastAsia="lv-LV"/>
              </w:rPr>
              <w:t>pieslēguma vieta</w:t>
            </w:r>
          </w:p>
        </w:tc>
        <w:tc>
          <w:tcPr>
            <w:tcW w:w="2562" w:type="dxa"/>
          </w:tcPr>
          <w:p w14:paraId="5C6CECED"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i/>
                <w:sz w:val="20"/>
                <w:szCs w:val="20"/>
                <w:lang w:eastAsia="lv-LV"/>
              </w:rPr>
              <w:t>mērmaiņu transformācijas koeficients</w:t>
            </w:r>
          </w:p>
        </w:tc>
        <w:tc>
          <w:tcPr>
            <w:tcW w:w="2800" w:type="dxa"/>
          </w:tcPr>
          <w:p w14:paraId="59CA3150"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i/>
                <w:sz w:val="20"/>
                <w:szCs w:val="20"/>
                <w:lang w:eastAsia="lv-LV"/>
              </w:rPr>
              <w:t>piezīmes</w:t>
            </w:r>
          </w:p>
        </w:tc>
      </w:tr>
      <w:tr w:rsidR="00D54781" w:rsidRPr="00D54781" w14:paraId="78A01E19" w14:textId="77777777" w:rsidTr="009E162E">
        <w:tc>
          <w:tcPr>
            <w:tcW w:w="772" w:type="dxa"/>
          </w:tcPr>
          <w:p w14:paraId="7A8A2832" w14:textId="77777777" w:rsidR="0002188B" w:rsidRPr="00D54781" w:rsidRDefault="0002188B" w:rsidP="007F20D9">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7</w:t>
            </w:r>
            <w:r w:rsidRPr="00D54781">
              <w:rPr>
                <w:rFonts w:ascii="Times New Roman" w:eastAsiaTheme="minorEastAsia" w:hAnsi="Times New Roman" w:cs="Times New Roman"/>
                <w:sz w:val="20"/>
                <w:szCs w:val="20"/>
                <w:lang w:eastAsia="lv-LV"/>
              </w:rPr>
              <w:t>.1.</w:t>
            </w:r>
          </w:p>
        </w:tc>
        <w:tc>
          <w:tcPr>
            <w:tcW w:w="1916" w:type="dxa"/>
          </w:tcPr>
          <w:p w14:paraId="2134FC8E"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1946" w:type="dxa"/>
          </w:tcPr>
          <w:p w14:paraId="08C986C4"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562" w:type="dxa"/>
          </w:tcPr>
          <w:p w14:paraId="3643C301"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609CC0DF"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41986CF5" w14:textId="77777777" w:rsidTr="009E162E">
        <w:tc>
          <w:tcPr>
            <w:tcW w:w="772" w:type="dxa"/>
          </w:tcPr>
          <w:p w14:paraId="31AFA549" w14:textId="77777777" w:rsidR="0002188B" w:rsidRPr="00D54781" w:rsidRDefault="0002188B" w:rsidP="007F20D9">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7</w:t>
            </w:r>
            <w:r w:rsidRPr="00D54781">
              <w:rPr>
                <w:rFonts w:ascii="Times New Roman" w:eastAsiaTheme="minorEastAsia" w:hAnsi="Times New Roman" w:cs="Times New Roman"/>
                <w:sz w:val="20"/>
                <w:szCs w:val="20"/>
                <w:lang w:eastAsia="lv-LV"/>
              </w:rPr>
              <w:t>.2.</w:t>
            </w:r>
          </w:p>
        </w:tc>
        <w:tc>
          <w:tcPr>
            <w:tcW w:w="1916" w:type="dxa"/>
          </w:tcPr>
          <w:p w14:paraId="3A64B344"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1946" w:type="dxa"/>
          </w:tcPr>
          <w:p w14:paraId="443E1810"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562" w:type="dxa"/>
          </w:tcPr>
          <w:p w14:paraId="1D2DE7EB"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0526EE81"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66C5CAC7" w14:textId="77777777" w:rsidTr="009E162E">
        <w:tc>
          <w:tcPr>
            <w:tcW w:w="772" w:type="dxa"/>
          </w:tcPr>
          <w:p w14:paraId="0F98BF49" w14:textId="77777777" w:rsidR="0002188B" w:rsidRPr="00D54781" w:rsidRDefault="0002188B" w:rsidP="007F20D9">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7</w:t>
            </w:r>
            <w:r w:rsidRPr="00D54781">
              <w:rPr>
                <w:rFonts w:ascii="Times New Roman" w:eastAsiaTheme="minorEastAsia" w:hAnsi="Times New Roman" w:cs="Times New Roman"/>
                <w:sz w:val="20"/>
                <w:szCs w:val="20"/>
                <w:lang w:eastAsia="lv-LV"/>
              </w:rPr>
              <w:t>.3.</w:t>
            </w:r>
          </w:p>
        </w:tc>
        <w:tc>
          <w:tcPr>
            <w:tcW w:w="1916" w:type="dxa"/>
          </w:tcPr>
          <w:p w14:paraId="71EF038C"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1946" w:type="dxa"/>
          </w:tcPr>
          <w:p w14:paraId="7967FC41"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562" w:type="dxa"/>
          </w:tcPr>
          <w:p w14:paraId="2545471F"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c>
          <w:tcPr>
            <w:tcW w:w="2800" w:type="dxa"/>
          </w:tcPr>
          <w:p w14:paraId="6DC62D53"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32910A03" w14:textId="77777777" w:rsidTr="000A5A7A">
        <w:tc>
          <w:tcPr>
            <w:tcW w:w="4634" w:type="dxa"/>
            <w:gridSpan w:val="3"/>
          </w:tcPr>
          <w:p w14:paraId="4D01176C" w14:textId="77777777" w:rsidR="0002188B" w:rsidRPr="00D54781" w:rsidRDefault="0002188B" w:rsidP="00324033">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7F20D9" w:rsidRPr="00D54781">
              <w:rPr>
                <w:rFonts w:ascii="Times New Roman" w:eastAsiaTheme="minorEastAsia" w:hAnsi="Times New Roman" w:cs="Times New Roman"/>
                <w:sz w:val="20"/>
                <w:szCs w:val="20"/>
                <w:lang w:eastAsia="lv-LV"/>
              </w:rPr>
              <w:t>8</w:t>
            </w:r>
            <w:r w:rsidRPr="00D54781">
              <w:rPr>
                <w:rFonts w:ascii="Times New Roman" w:eastAsiaTheme="minorEastAsia" w:hAnsi="Times New Roman" w:cs="Times New Roman"/>
                <w:sz w:val="20"/>
                <w:szCs w:val="20"/>
                <w:lang w:eastAsia="lv-LV"/>
              </w:rPr>
              <w:t xml:space="preserve">. </w:t>
            </w:r>
            <w:r w:rsidR="00324033" w:rsidRPr="00D54781">
              <w:rPr>
                <w:rFonts w:ascii="Times New Roman" w:eastAsiaTheme="minorEastAsia" w:hAnsi="Times New Roman" w:cs="Times New Roman"/>
                <w:sz w:val="20"/>
                <w:szCs w:val="20"/>
                <w:lang w:eastAsia="lv-LV"/>
              </w:rPr>
              <w:t>E</w:t>
            </w:r>
            <w:r w:rsidRPr="00D54781">
              <w:rPr>
                <w:rFonts w:ascii="Times New Roman" w:eastAsiaTheme="minorEastAsia" w:hAnsi="Times New Roman" w:cs="Times New Roman"/>
                <w:sz w:val="20"/>
                <w:szCs w:val="20"/>
                <w:lang w:eastAsia="lv-LV"/>
              </w:rPr>
              <w:t>lektroietaišu piederības robeža</w:t>
            </w:r>
          </w:p>
        </w:tc>
        <w:tc>
          <w:tcPr>
            <w:tcW w:w="5362" w:type="dxa"/>
            <w:gridSpan w:val="2"/>
          </w:tcPr>
          <w:p w14:paraId="3DEC6FFD" w14:textId="77777777" w:rsidR="0002188B" w:rsidRPr="00D54781" w:rsidRDefault="0002188B" w:rsidP="00140521">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3C5B6AE2" w14:textId="77777777" w:rsidTr="000A5A7A">
        <w:tc>
          <w:tcPr>
            <w:tcW w:w="4634" w:type="dxa"/>
            <w:gridSpan w:val="3"/>
          </w:tcPr>
          <w:p w14:paraId="0139EB69" w14:textId="77777777" w:rsidR="00333B89" w:rsidRPr="00D54781" w:rsidRDefault="00CF2F96" w:rsidP="00D824A3">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1.9. </w:t>
            </w:r>
            <w:r w:rsidR="00CB133C" w:rsidRPr="00D54781">
              <w:rPr>
                <w:rFonts w:ascii="Times New Roman" w:eastAsiaTheme="minorEastAsia" w:hAnsi="Times New Roman" w:cs="Times New Roman"/>
                <w:sz w:val="20"/>
                <w:szCs w:val="20"/>
                <w:lang w:eastAsia="lv-LV"/>
              </w:rPr>
              <w:t>Atbildība</w:t>
            </w:r>
            <w:r w:rsidR="000A5A7A" w:rsidRPr="00D54781">
              <w:rPr>
                <w:rFonts w:ascii="Times New Roman" w:eastAsiaTheme="minorEastAsia" w:hAnsi="Times New Roman" w:cs="Times New Roman"/>
                <w:sz w:val="20"/>
                <w:szCs w:val="20"/>
                <w:lang w:eastAsia="lv-LV"/>
              </w:rPr>
              <w:t xml:space="preserve"> par </w:t>
            </w:r>
            <w:r w:rsidR="00D824A3" w:rsidRPr="00D54781">
              <w:rPr>
                <w:rFonts w:ascii="Times New Roman" w:eastAsiaTheme="minorEastAsia" w:hAnsi="Times New Roman" w:cs="Times New Roman"/>
                <w:sz w:val="20"/>
                <w:szCs w:val="20"/>
                <w:lang w:eastAsia="lv-LV"/>
              </w:rPr>
              <w:t>elektroietaišu apkalpošanu</w:t>
            </w:r>
          </w:p>
        </w:tc>
        <w:tc>
          <w:tcPr>
            <w:tcW w:w="5362" w:type="dxa"/>
            <w:gridSpan w:val="2"/>
          </w:tcPr>
          <w:p w14:paraId="2608D837" w14:textId="77777777" w:rsidR="004334F3" w:rsidRPr="00D54781" w:rsidRDefault="004334F3" w:rsidP="00E31618">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33AC94E4" w14:textId="77777777" w:rsidTr="000A5A7A">
        <w:tc>
          <w:tcPr>
            <w:tcW w:w="4634" w:type="dxa"/>
            <w:gridSpan w:val="3"/>
          </w:tcPr>
          <w:p w14:paraId="1A202839" w14:textId="77777777" w:rsidR="0002188B" w:rsidRPr="00D54781" w:rsidRDefault="0002188B" w:rsidP="009E5E0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1.</w:t>
            </w:r>
            <w:r w:rsidR="00CF2F96" w:rsidRPr="00D54781">
              <w:rPr>
                <w:rFonts w:ascii="Times New Roman" w:eastAsiaTheme="minorEastAsia" w:hAnsi="Times New Roman" w:cs="Times New Roman"/>
                <w:sz w:val="20"/>
                <w:szCs w:val="20"/>
                <w:lang w:eastAsia="lv-LV"/>
              </w:rPr>
              <w:t>1</w:t>
            </w:r>
            <w:r w:rsidR="009E5E06" w:rsidRPr="00D54781">
              <w:rPr>
                <w:rFonts w:ascii="Times New Roman" w:eastAsiaTheme="minorEastAsia" w:hAnsi="Times New Roman" w:cs="Times New Roman"/>
                <w:sz w:val="20"/>
                <w:szCs w:val="20"/>
                <w:lang w:eastAsia="lv-LV"/>
              </w:rPr>
              <w:t>0</w:t>
            </w:r>
            <w:r w:rsidRPr="00D54781">
              <w:rPr>
                <w:rFonts w:ascii="Times New Roman" w:eastAsiaTheme="minorEastAsia" w:hAnsi="Times New Roman" w:cs="Times New Roman"/>
                <w:sz w:val="20"/>
                <w:szCs w:val="20"/>
                <w:lang w:eastAsia="lv-LV"/>
              </w:rPr>
              <w:t>. Skaitītāja rādījumus nolasa</w:t>
            </w:r>
          </w:p>
        </w:tc>
        <w:tc>
          <w:tcPr>
            <w:tcW w:w="5362" w:type="dxa"/>
            <w:gridSpan w:val="2"/>
          </w:tcPr>
          <w:p w14:paraId="5EB3D2D8" w14:textId="77777777" w:rsidR="0002188B" w:rsidRPr="00D54781" w:rsidRDefault="0002188B" w:rsidP="00557C13">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bl>
    <w:p w14:paraId="7ED8C24B" w14:textId="77777777" w:rsidR="00C74ADF" w:rsidRDefault="00C74ADF" w:rsidP="0002188B">
      <w:pPr>
        <w:widowControl w:val="0"/>
        <w:autoSpaceDE w:val="0"/>
        <w:autoSpaceDN w:val="0"/>
        <w:adjustRightInd w:val="0"/>
        <w:spacing w:after="120" w:line="240" w:lineRule="auto"/>
        <w:ind w:right="108"/>
        <w:rPr>
          <w:rFonts w:ascii="Times New Roman" w:eastAsiaTheme="minorEastAsia" w:hAnsi="Times New Roman" w:cs="Times New Roman"/>
          <w:i/>
          <w:sz w:val="20"/>
          <w:szCs w:val="20"/>
          <w:lang w:eastAsia="lv-LV"/>
        </w:rPr>
      </w:pPr>
    </w:p>
    <w:p w14:paraId="5CA2C4C9" w14:textId="77777777" w:rsidR="0002188B" w:rsidRDefault="00DC23A5" w:rsidP="0002188B">
      <w:pPr>
        <w:widowControl w:val="0"/>
        <w:autoSpaceDE w:val="0"/>
        <w:autoSpaceDN w:val="0"/>
        <w:adjustRightInd w:val="0"/>
        <w:spacing w:after="120" w:line="240" w:lineRule="auto"/>
        <w:ind w:right="108"/>
        <w:rPr>
          <w:rFonts w:ascii="Times New Roman" w:eastAsiaTheme="minorEastAsia" w:hAnsi="Times New Roman" w:cs="Times New Roman"/>
          <w:i/>
          <w:sz w:val="20"/>
          <w:szCs w:val="20"/>
          <w:lang w:eastAsia="lv-LV"/>
        </w:rPr>
      </w:pPr>
      <w:r w:rsidRPr="00D54781">
        <w:rPr>
          <w:rFonts w:ascii="Times New Roman" w:eastAsiaTheme="minorEastAsia" w:hAnsi="Times New Roman" w:cs="Times New Roman"/>
          <w:i/>
          <w:sz w:val="20"/>
          <w:szCs w:val="20"/>
          <w:lang w:eastAsia="lv-LV"/>
        </w:rPr>
        <w:t>Ī</w:t>
      </w:r>
      <w:r w:rsidR="00FB7256" w:rsidRPr="00D54781">
        <w:rPr>
          <w:rFonts w:ascii="Times New Roman" w:eastAsiaTheme="minorEastAsia" w:hAnsi="Times New Roman" w:cs="Times New Roman"/>
          <w:i/>
          <w:sz w:val="20"/>
          <w:szCs w:val="20"/>
          <w:lang w:eastAsia="lv-LV"/>
        </w:rPr>
        <w:t>paš</w:t>
      </w:r>
      <w:r w:rsidR="008220AB">
        <w:rPr>
          <w:rFonts w:ascii="Times New Roman" w:eastAsiaTheme="minorEastAsia" w:hAnsi="Times New Roman" w:cs="Times New Roman"/>
          <w:i/>
          <w:sz w:val="20"/>
          <w:szCs w:val="20"/>
          <w:lang w:eastAsia="lv-LV"/>
        </w:rPr>
        <w:t>ie</w:t>
      </w:r>
      <w:r w:rsidR="00FB7256" w:rsidRPr="00D54781">
        <w:rPr>
          <w:rFonts w:ascii="Times New Roman" w:eastAsiaTheme="minorEastAsia" w:hAnsi="Times New Roman" w:cs="Times New Roman"/>
          <w:i/>
          <w:sz w:val="20"/>
          <w:szCs w:val="20"/>
          <w:lang w:eastAsia="lv-LV"/>
        </w:rPr>
        <w:t xml:space="preserve"> nosacījum</w:t>
      </w:r>
      <w:r w:rsidR="008220AB">
        <w:rPr>
          <w:rFonts w:ascii="Times New Roman" w:eastAsiaTheme="minorEastAsia" w:hAnsi="Times New Roman" w:cs="Times New Roman"/>
          <w:i/>
          <w:sz w:val="20"/>
          <w:szCs w:val="20"/>
          <w:lang w:eastAsia="lv-LV"/>
        </w:rPr>
        <w:t xml:space="preserve">i līgumā </w:t>
      </w:r>
      <w:r w:rsidR="008340A1">
        <w:rPr>
          <w:rFonts w:ascii="Times New Roman" w:eastAsiaTheme="minorEastAsia" w:hAnsi="Times New Roman" w:cs="Times New Roman"/>
          <w:i/>
          <w:sz w:val="20"/>
          <w:szCs w:val="20"/>
          <w:lang w:eastAsia="lv-LV"/>
        </w:rPr>
        <w:t>tiek iekļauti, ja attiecināmi uz objektu.</w:t>
      </w:r>
    </w:p>
    <w:tbl>
      <w:tblPr>
        <w:tblStyle w:val="TableGrid"/>
        <w:tblW w:w="0" w:type="auto"/>
        <w:tblInd w:w="137" w:type="dxa"/>
        <w:tblLook w:val="04A0" w:firstRow="1" w:lastRow="0" w:firstColumn="1" w:lastColumn="0" w:noHBand="0" w:noVBand="1"/>
      </w:tblPr>
      <w:tblGrid>
        <w:gridCol w:w="4678"/>
        <w:gridCol w:w="2622"/>
        <w:gridCol w:w="2623"/>
      </w:tblGrid>
      <w:tr w:rsidR="00D54781" w:rsidRPr="00D54781" w14:paraId="7DCBFD92" w14:textId="77777777" w:rsidTr="008C22A8">
        <w:tc>
          <w:tcPr>
            <w:tcW w:w="9923" w:type="dxa"/>
            <w:gridSpan w:val="3"/>
            <w:shd w:val="clear" w:color="auto" w:fill="BFBFBF" w:themeFill="background1" w:themeFillShade="BF"/>
          </w:tcPr>
          <w:p w14:paraId="6B643180" w14:textId="77777777" w:rsidR="0002188B" w:rsidRPr="00D54781" w:rsidRDefault="0002188B" w:rsidP="00127277">
            <w:pPr>
              <w:widowControl w:val="0"/>
              <w:autoSpaceDE w:val="0"/>
              <w:autoSpaceDN w:val="0"/>
              <w:adjustRightInd w:val="0"/>
              <w:ind w:right="105"/>
              <w:jc w:val="both"/>
              <w:rPr>
                <w:rFonts w:ascii="Times New Roman" w:eastAsiaTheme="minorEastAsia" w:hAnsi="Times New Roman" w:cs="Times New Roman"/>
                <w:b/>
                <w:sz w:val="20"/>
                <w:szCs w:val="20"/>
                <w:lang w:eastAsia="lv-LV"/>
              </w:rPr>
            </w:pPr>
            <w:r w:rsidRPr="00D54781">
              <w:rPr>
                <w:rFonts w:ascii="Times New Roman" w:eastAsiaTheme="minorEastAsia" w:hAnsi="Times New Roman" w:cs="Times New Roman"/>
                <w:b/>
                <w:sz w:val="20"/>
                <w:szCs w:val="20"/>
                <w:lang w:eastAsia="lv-LV"/>
              </w:rPr>
              <w:t>2. Īpašie nosacījumi</w:t>
            </w:r>
            <w:r w:rsidR="00127277" w:rsidRPr="00D54781">
              <w:rPr>
                <w:rFonts w:ascii="Times New Roman" w:eastAsiaTheme="minorEastAsia" w:hAnsi="Times New Roman" w:cs="Times New Roman"/>
                <w:b/>
                <w:sz w:val="20"/>
                <w:szCs w:val="20"/>
                <w:lang w:eastAsia="lv-LV"/>
              </w:rPr>
              <w:t xml:space="preserve"> </w:t>
            </w:r>
            <w:proofErr w:type="spellStart"/>
            <w:r w:rsidR="00FB7256" w:rsidRPr="00D54781">
              <w:rPr>
                <w:rFonts w:ascii="Times New Roman" w:eastAsiaTheme="minorEastAsia" w:hAnsi="Times New Roman" w:cs="Times New Roman"/>
                <w:b/>
                <w:sz w:val="20"/>
                <w:szCs w:val="20"/>
                <w:lang w:eastAsia="lv-LV"/>
              </w:rPr>
              <w:t>mikroģeneratora</w:t>
            </w:r>
            <w:r w:rsidR="00E73F48" w:rsidRPr="00D54781">
              <w:rPr>
                <w:rFonts w:ascii="Times New Roman" w:eastAsiaTheme="minorEastAsia" w:hAnsi="Times New Roman" w:cs="Times New Roman"/>
                <w:b/>
                <w:sz w:val="20"/>
                <w:szCs w:val="20"/>
                <w:lang w:eastAsia="lv-LV"/>
              </w:rPr>
              <w:t>m</w:t>
            </w:r>
            <w:proofErr w:type="spellEnd"/>
          </w:p>
        </w:tc>
      </w:tr>
      <w:tr w:rsidR="00D54781" w:rsidRPr="00D54781" w14:paraId="47FD688B" w14:textId="77777777" w:rsidTr="0039684D">
        <w:tc>
          <w:tcPr>
            <w:tcW w:w="9923" w:type="dxa"/>
            <w:gridSpan w:val="3"/>
          </w:tcPr>
          <w:p w14:paraId="15CBD6D5" w14:textId="77777777" w:rsidR="00B21176" w:rsidRPr="00D54781" w:rsidRDefault="00B21176" w:rsidP="0087762E">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2.1. Mikroģenerators </w:t>
            </w:r>
            <w:r w:rsidR="003A243D" w:rsidRPr="00D54781">
              <w:rPr>
                <w:rFonts w:ascii="Times New Roman" w:eastAsiaTheme="minorEastAsia" w:hAnsi="Times New Roman" w:cs="Times New Roman"/>
                <w:sz w:val="20"/>
                <w:szCs w:val="20"/>
                <w:lang w:eastAsia="lv-LV"/>
              </w:rPr>
              <w:t>ir</w:t>
            </w:r>
            <w:r w:rsidRPr="00D54781">
              <w:rPr>
                <w:rFonts w:ascii="Times New Roman" w:eastAsiaTheme="minorEastAsia" w:hAnsi="Times New Roman" w:cs="Times New Roman"/>
                <w:sz w:val="20"/>
                <w:szCs w:val="20"/>
                <w:lang w:eastAsia="lv-LV"/>
              </w:rPr>
              <w:t xml:space="preserve"> elektroenerģijas ražošanas iekārta un ar to saistītās aizsardzības un </w:t>
            </w:r>
            <w:proofErr w:type="spellStart"/>
            <w:r w:rsidRPr="00D54781">
              <w:rPr>
                <w:rFonts w:ascii="Times New Roman" w:eastAsiaTheme="minorEastAsia" w:hAnsi="Times New Roman" w:cs="Times New Roman"/>
                <w:sz w:val="20"/>
                <w:szCs w:val="20"/>
                <w:lang w:eastAsia="lv-LV"/>
              </w:rPr>
              <w:t>pārveidotājiekārtas</w:t>
            </w:r>
            <w:proofErr w:type="spellEnd"/>
            <w:r w:rsidRPr="00D54781">
              <w:rPr>
                <w:rFonts w:ascii="Times New Roman" w:eastAsiaTheme="minorEastAsia" w:hAnsi="Times New Roman" w:cs="Times New Roman"/>
                <w:sz w:val="20"/>
                <w:szCs w:val="20"/>
                <w:lang w:eastAsia="lv-LV"/>
              </w:rPr>
              <w:t xml:space="preserve"> (mikroģeneratora invertors) maiņstrāvas elektroenerģijas ražošanai ar darba strāvu līdz 16 ampēriem</w:t>
            </w:r>
            <w:r w:rsidR="00745B2E">
              <w:rPr>
                <w:rFonts w:ascii="Times New Roman" w:eastAsiaTheme="minorEastAsia" w:hAnsi="Times New Roman" w:cs="Times New Roman"/>
                <w:sz w:val="20"/>
                <w:szCs w:val="20"/>
                <w:lang w:eastAsia="lv-LV"/>
              </w:rPr>
              <w:t xml:space="preserve"> </w:t>
            </w:r>
            <w:r w:rsidR="00745B2E" w:rsidRPr="004334F3">
              <w:rPr>
                <w:rFonts w:ascii="Times New Roman" w:eastAsiaTheme="minorEastAsia" w:hAnsi="Times New Roman" w:cs="Times New Roman"/>
                <w:sz w:val="20"/>
                <w:szCs w:val="20"/>
                <w:lang w:eastAsia="lv-LV"/>
              </w:rPr>
              <w:t xml:space="preserve">(attiecīgi 3,68 kW vienfāzes elektrotīklā  vai 11 </w:t>
            </w:r>
            <w:proofErr w:type="spellStart"/>
            <w:r w:rsidR="00745B2E" w:rsidRPr="004334F3">
              <w:rPr>
                <w:rFonts w:ascii="Times New Roman" w:eastAsiaTheme="minorEastAsia" w:hAnsi="Times New Roman" w:cs="Times New Roman"/>
                <w:sz w:val="20"/>
                <w:szCs w:val="20"/>
                <w:lang w:eastAsia="lv-LV"/>
              </w:rPr>
              <w:t>kW</w:t>
            </w:r>
            <w:proofErr w:type="spellEnd"/>
            <w:r w:rsidR="00745B2E" w:rsidRPr="004334F3">
              <w:rPr>
                <w:rFonts w:ascii="Times New Roman" w:eastAsiaTheme="minorEastAsia" w:hAnsi="Times New Roman" w:cs="Times New Roman"/>
                <w:sz w:val="20"/>
                <w:szCs w:val="20"/>
                <w:lang w:eastAsia="lv-LV"/>
              </w:rPr>
              <w:t xml:space="preserve"> </w:t>
            </w:r>
            <w:proofErr w:type="spellStart"/>
            <w:r w:rsidR="00745B2E" w:rsidRPr="004334F3">
              <w:rPr>
                <w:rFonts w:ascii="Times New Roman" w:eastAsiaTheme="minorEastAsia" w:hAnsi="Times New Roman" w:cs="Times New Roman"/>
                <w:sz w:val="20"/>
                <w:szCs w:val="20"/>
                <w:lang w:eastAsia="lv-LV"/>
              </w:rPr>
              <w:t>trīsfāžu</w:t>
            </w:r>
            <w:proofErr w:type="spellEnd"/>
            <w:r w:rsidR="00745B2E" w:rsidRPr="004334F3">
              <w:rPr>
                <w:rFonts w:ascii="Times New Roman" w:eastAsiaTheme="minorEastAsia" w:hAnsi="Times New Roman" w:cs="Times New Roman"/>
                <w:sz w:val="20"/>
                <w:szCs w:val="20"/>
                <w:lang w:eastAsia="lv-LV"/>
              </w:rPr>
              <w:t xml:space="preserve"> elektrotīklā)</w:t>
            </w:r>
            <w:r w:rsidRPr="00D54781">
              <w:rPr>
                <w:rFonts w:ascii="Times New Roman" w:eastAsiaTheme="minorEastAsia" w:hAnsi="Times New Roman" w:cs="Times New Roman"/>
                <w:sz w:val="20"/>
                <w:szCs w:val="20"/>
                <w:lang w:eastAsia="lv-LV"/>
              </w:rPr>
              <w:t xml:space="preserve">, kas paredzēta uzstādīšanai klienta elektroietaisē paralēlā darbā ar </w:t>
            </w:r>
            <w:r w:rsidR="0087762E">
              <w:rPr>
                <w:rFonts w:ascii="Times New Roman" w:eastAsiaTheme="minorEastAsia" w:hAnsi="Times New Roman" w:cs="Times New Roman"/>
                <w:sz w:val="20"/>
                <w:szCs w:val="20"/>
                <w:lang w:eastAsia="lv-LV"/>
              </w:rPr>
              <w:t>0,4kV</w:t>
            </w:r>
            <w:r w:rsidRPr="00D54781">
              <w:rPr>
                <w:rFonts w:ascii="Times New Roman" w:eastAsiaTheme="minorEastAsia" w:hAnsi="Times New Roman" w:cs="Times New Roman"/>
                <w:sz w:val="20"/>
                <w:szCs w:val="20"/>
                <w:lang w:eastAsia="lv-LV"/>
              </w:rPr>
              <w:t xml:space="preserve"> sadales elektrotīklu.</w:t>
            </w:r>
          </w:p>
        </w:tc>
      </w:tr>
      <w:tr w:rsidR="00D54781" w:rsidRPr="00D54781" w14:paraId="716C780D" w14:textId="77777777" w:rsidTr="00B93BEE">
        <w:tc>
          <w:tcPr>
            <w:tcW w:w="4678" w:type="dxa"/>
          </w:tcPr>
          <w:p w14:paraId="5FA07B0E" w14:textId="77777777" w:rsidR="00B70ED4" w:rsidRPr="00D54781" w:rsidRDefault="00B70ED4" w:rsidP="00B2117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2</w:t>
            </w:r>
            <w:r w:rsidRPr="00D54781">
              <w:rPr>
                <w:rFonts w:ascii="Times New Roman" w:eastAsiaTheme="minorEastAsia" w:hAnsi="Times New Roman" w:cs="Times New Roman"/>
                <w:sz w:val="20"/>
                <w:szCs w:val="20"/>
                <w:lang w:eastAsia="lv-LV"/>
              </w:rPr>
              <w:t>. Atļaujas numurs un atļautā elektriskā ražošanas</w:t>
            </w:r>
            <w:r w:rsidR="00747C89">
              <w:rPr>
                <w:rFonts w:ascii="Times New Roman" w:eastAsiaTheme="minorEastAsia" w:hAnsi="Times New Roman" w:cs="Times New Roman"/>
                <w:sz w:val="20"/>
                <w:szCs w:val="20"/>
                <w:lang w:eastAsia="lv-LV"/>
              </w:rPr>
              <w:t xml:space="preserve"> jauda kilovatos</w:t>
            </w:r>
          </w:p>
        </w:tc>
        <w:tc>
          <w:tcPr>
            <w:tcW w:w="2622" w:type="dxa"/>
          </w:tcPr>
          <w:p w14:paraId="2A9DAAC5" w14:textId="77777777" w:rsidR="00B70ED4" w:rsidRPr="00D54781" w:rsidRDefault="00B70ED4" w:rsidP="0002188B">
            <w:pPr>
              <w:widowControl w:val="0"/>
              <w:autoSpaceDE w:val="0"/>
              <w:autoSpaceDN w:val="0"/>
              <w:adjustRightInd w:val="0"/>
              <w:ind w:right="105"/>
              <w:jc w:val="both"/>
              <w:rPr>
                <w:rFonts w:ascii="Times New Roman" w:eastAsiaTheme="minorEastAsia" w:hAnsi="Times New Roman" w:cs="Times New Roman"/>
                <w:sz w:val="20"/>
                <w:szCs w:val="20"/>
                <w:highlight w:val="lightGray"/>
                <w:lang w:eastAsia="lv-LV"/>
              </w:rPr>
            </w:pPr>
          </w:p>
        </w:tc>
        <w:tc>
          <w:tcPr>
            <w:tcW w:w="2623" w:type="dxa"/>
          </w:tcPr>
          <w:p w14:paraId="7DAD0381" w14:textId="77777777" w:rsidR="00B70ED4" w:rsidRPr="00D54781" w:rsidRDefault="00B70ED4" w:rsidP="0002188B">
            <w:pPr>
              <w:widowControl w:val="0"/>
              <w:autoSpaceDE w:val="0"/>
              <w:autoSpaceDN w:val="0"/>
              <w:adjustRightInd w:val="0"/>
              <w:ind w:right="105"/>
              <w:jc w:val="both"/>
              <w:rPr>
                <w:rFonts w:ascii="Times New Roman" w:eastAsiaTheme="minorEastAsia" w:hAnsi="Times New Roman" w:cs="Times New Roman"/>
                <w:sz w:val="20"/>
                <w:szCs w:val="20"/>
                <w:highlight w:val="lightGray"/>
                <w:lang w:eastAsia="lv-LV"/>
              </w:rPr>
            </w:pPr>
          </w:p>
        </w:tc>
      </w:tr>
      <w:tr w:rsidR="00D54781" w:rsidRPr="00D54781" w14:paraId="1DB70A23" w14:textId="77777777" w:rsidTr="00C668EB">
        <w:tc>
          <w:tcPr>
            <w:tcW w:w="4678" w:type="dxa"/>
          </w:tcPr>
          <w:p w14:paraId="6946853A" w14:textId="77777777" w:rsidR="0002188B" w:rsidRPr="00D54781" w:rsidRDefault="00B575EE" w:rsidP="00B2117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3</w:t>
            </w:r>
            <w:r w:rsidRPr="00D54781">
              <w:rPr>
                <w:rFonts w:ascii="Times New Roman" w:eastAsiaTheme="minorEastAsia" w:hAnsi="Times New Roman" w:cs="Times New Roman"/>
                <w:sz w:val="20"/>
                <w:szCs w:val="20"/>
                <w:lang w:eastAsia="lv-LV"/>
              </w:rPr>
              <w:t>. Ražotāja tips</w:t>
            </w:r>
          </w:p>
        </w:tc>
        <w:tc>
          <w:tcPr>
            <w:tcW w:w="5245" w:type="dxa"/>
            <w:gridSpan w:val="2"/>
          </w:tcPr>
          <w:p w14:paraId="517201AC" w14:textId="77777777" w:rsidR="0002188B" w:rsidRPr="00D54781" w:rsidRDefault="0002188B" w:rsidP="006078A8">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440B98E5" w14:textId="77777777" w:rsidTr="00570CC9">
        <w:tc>
          <w:tcPr>
            <w:tcW w:w="4678" w:type="dxa"/>
          </w:tcPr>
          <w:p w14:paraId="120CB4B6" w14:textId="77777777" w:rsidR="00FB7256" w:rsidRPr="00D54781" w:rsidRDefault="00FB7256" w:rsidP="00B2117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4</w:t>
            </w:r>
            <w:r w:rsidRPr="00D54781">
              <w:rPr>
                <w:rFonts w:ascii="Times New Roman" w:eastAsiaTheme="minorEastAsia" w:hAnsi="Times New Roman" w:cs="Times New Roman"/>
                <w:sz w:val="20"/>
                <w:szCs w:val="20"/>
                <w:lang w:eastAsia="lv-LV"/>
              </w:rPr>
              <w:t xml:space="preserve">. </w:t>
            </w:r>
            <w:r w:rsidR="00B70ED4" w:rsidRPr="00D54781">
              <w:rPr>
                <w:rFonts w:ascii="Times New Roman" w:eastAsiaTheme="minorEastAsia" w:hAnsi="Times New Roman" w:cs="Times New Roman"/>
                <w:sz w:val="20"/>
                <w:szCs w:val="20"/>
                <w:lang w:eastAsia="lv-LV"/>
              </w:rPr>
              <w:t>Mikroģeneratoru atļauts pieslēgt para</w:t>
            </w:r>
            <w:r w:rsidR="007433B5">
              <w:rPr>
                <w:rFonts w:ascii="Times New Roman" w:eastAsiaTheme="minorEastAsia" w:hAnsi="Times New Roman" w:cs="Times New Roman"/>
                <w:sz w:val="20"/>
                <w:szCs w:val="20"/>
                <w:lang w:eastAsia="lv-LV"/>
              </w:rPr>
              <w:t>lēlam darbam ar sadales sistēmu</w:t>
            </w:r>
          </w:p>
        </w:tc>
        <w:tc>
          <w:tcPr>
            <w:tcW w:w="5245" w:type="dxa"/>
            <w:gridSpan w:val="2"/>
            <w:shd w:val="clear" w:color="auto" w:fill="auto"/>
          </w:tcPr>
          <w:p w14:paraId="0C7D7559" w14:textId="77777777" w:rsidR="00FB7256" w:rsidRPr="00D54781" w:rsidRDefault="00FB7256" w:rsidP="0002188B">
            <w:pPr>
              <w:widowControl w:val="0"/>
              <w:autoSpaceDE w:val="0"/>
              <w:autoSpaceDN w:val="0"/>
              <w:adjustRightInd w:val="0"/>
              <w:ind w:right="105"/>
              <w:jc w:val="both"/>
              <w:rPr>
                <w:rFonts w:eastAsiaTheme="minorEastAsia"/>
                <w:noProof/>
                <w:sz w:val="20"/>
                <w:szCs w:val="20"/>
                <w:lang w:eastAsia="lv-LV"/>
              </w:rPr>
            </w:pPr>
          </w:p>
        </w:tc>
      </w:tr>
      <w:tr w:rsidR="00D54781" w:rsidRPr="00D54781" w14:paraId="5F861FD8" w14:textId="77777777" w:rsidTr="00C668EB">
        <w:tc>
          <w:tcPr>
            <w:tcW w:w="9923" w:type="dxa"/>
            <w:gridSpan w:val="3"/>
          </w:tcPr>
          <w:p w14:paraId="0BF56090" w14:textId="5283CDB5" w:rsidR="0002188B" w:rsidRPr="00D54781" w:rsidRDefault="00984A10" w:rsidP="00B2117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984A10">
              <w:rPr>
                <w:rFonts w:ascii="Times New Roman" w:eastAsiaTheme="minorEastAsia" w:hAnsi="Times New Roman" w:cs="Times New Roman"/>
                <w:sz w:val="20"/>
                <w:szCs w:val="20"/>
                <w:lang w:eastAsia="lv-LV"/>
              </w:rPr>
              <w:t>2.5. Norēķiniem par mājsaimniecības lietotāja objektā saražoto un patērēto elektroenerģiju tiek piemērota elektroenerģijas neto norēķinu sistēma, ja izpildās Elektroenerģijas tirgus likumā paredzētie nosacījumi un LIETOTĀJS ar elektroenerģijas tirgotāju nav vienojies citādi.</w:t>
            </w:r>
          </w:p>
        </w:tc>
      </w:tr>
      <w:tr w:rsidR="00D54781" w:rsidRPr="00D54781" w14:paraId="5A181410" w14:textId="77777777" w:rsidTr="00C668EB">
        <w:tc>
          <w:tcPr>
            <w:tcW w:w="9923" w:type="dxa"/>
            <w:gridSpan w:val="3"/>
          </w:tcPr>
          <w:p w14:paraId="37808FC4" w14:textId="77777777" w:rsidR="0048502C" w:rsidRPr="00D54781" w:rsidRDefault="0002188B" w:rsidP="00DC42E9">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6</w:t>
            </w:r>
            <w:r w:rsidRPr="00D54781">
              <w:rPr>
                <w:rFonts w:ascii="Times New Roman" w:eastAsiaTheme="minorEastAsia" w:hAnsi="Times New Roman" w:cs="Times New Roman"/>
                <w:sz w:val="20"/>
                <w:szCs w:val="20"/>
                <w:lang w:eastAsia="lv-LV"/>
              </w:rPr>
              <w:t xml:space="preserve">. </w:t>
            </w:r>
            <w:r w:rsidR="001D3EB1" w:rsidRPr="00D54781">
              <w:rPr>
                <w:rFonts w:ascii="Times New Roman" w:eastAsiaTheme="minorEastAsia" w:hAnsi="Times New Roman" w:cs="Times New Roman"/>
                <w:sz w:val="20"/>
                <w:szCs w:val="20"/>
                <w:lang w:eastAsia="lv-LV"/>
              </w:rPr>
              <w:t xml:space="preserve">Mikroģeneratora </w:t>
            </w:r>
            <w:proofErr w:type="spellStart"/>
            <w:r w:rsidR="001D3EB1" w:rsidRPr="00D54781">
              <w:rPr>
                <w:rFonts w:ascii="Times New Roman" w:eastAsiaTheme="minorEastAsia" w:hAnsi="Times New Roman" w:cs="Times New Roman"/>
                <w:sz w:val="20"/>
                <w:szCs w:val="20"/>
                <w:lang w:eastAsia="lv-LV"/>
              </w:rPr>
              <w:t>ekspuatācijas</w:t>
            </w:r>
            <w:proofErr w:type="spellEnd"/>
            <w:r w:rsidR="001D3EB1" w:rsidRPr="00D54781">
              <w:rPr>
                <w:rFonts w:ascii="Times New Roman" w:eastAsiaTheme="minorEastAsia" w:hAnsi="Times New Roman" w:cs="Times New Roman"/>
                <w:sz w:val="20"/>
                <w:szCs w:val="20"/>
                <w:lang w:eastAsia="lv-LV"/>
              </w:rPr>
              <w:t xml:space="preserve"> laikā LIETOTĀJAM bez iepriekšējas SSO informēšanas aizliegts mainīt tehniskajos noteikumos paredzēto strāvu ierobežojošo </w:t>
            </w:r>
            <w:proofErr w:type="spellStart"/>
            <w:r w:rsidR="001D3EB1" w:rsidRPr="00D54781">
              <w:rPr>
                <w:rFonts w:ascii="Times New Roman" w:eastAsiaTheme="minorEastAsia" w:hAnsi="Times New Roman" w:cs="Times New Roman"/>
                <w:sz w:val="20"/>
                <w:szCs w:val="20"/>
                <w:lang w:eastAsia="lv-LV"/>
              </w:rPr>
              <w:t>ievadaizsardzības</w:t>
            </w:r>
            <w:proofErr w:type="spellEnd"/>
            <w:r w:rsidR="001D3EB1" w:rsidRPr="00D54781">
              <w:rPr>
                <w:rFonts w:ascii="Times New Roman" w:eastAsiaTheme="minorEastAsia" w:hAnsi="Times New Roman" w:cs="Times New Roman"/>
                <w:sz w:val="20"/>
                <w:szCs w:val="20"/>
                <w:lang w:eastAsia="lv-LV"/>
              </w:rPr>
              <w:t xml:space="preserve"> aparātu uz lielāku (pēc nominālās strāvas) ķēdē starp mikroģeneratora invertoru un skaitītāju. Ja mikroģeneratora ekspluatācijas laikā SSO konstatē, ka LIETOTĀJS neinformējot SSO ir veicis mikroģeneratora invertora vai tā iestatījumu izmaiņas, SSO ir tiesīgs atslēgt mikroģeneratoru no elektrotīkla. Ja </w:t>
            </w:r>
            <w:proofErr w:type="spellStart"/>
            <w:r w:rsidR="001D3EB1" w:rsidRPr="00D54781">
              <w:rPr>
                <w:rFonts w:ascii="Times New Roman" w:eastAsiaTheme="minorEastAsia" w:hAnsi="Times New Roman" w:cs="Times New Roman"/>
                <w:sz w:val="20"/>
                <w:szCs w:val="20"/>
                <w:lang w:eastAsia="lv-LV"/>
              </w:rPr>
              <w:t>mikroģenerators</w:t>
            </w:r>
            <w:proofErr w:type="spellEnd"/>
            <w:r w:rsidR="001D3EB1" w:rsidRPr="00D54781">
              <w:rPr>
                <w:rFonts w:ascii="Times New Roman" w:eastAsiaTheme="minorEastAsia" w:hAnsi="Times New Roman" w:cs="Times New Roman"/>
                <w:sz w:val="20"/>
                <w:szCs w:val="20"/>
                <w:lang w:eastAsia="lv-LV"/>
              </w:rPr>
              <w:t xml:space="preserve"> pieslēgts elektrotīklam pēc 2019.gada 27.aprīļa, LIETOTĀJS nodrošina, ka </w:t>
            </w:r>
            <w:proofErr w:type="spellStart"/>
            <w:r w:rsidR="001D3EB1" w:rsidRPr="00D54781">
              <w:rPr>
                <w:rFonts w:ascii="Times New Roman" w:eastAsiaTheme="minorEastAsia" w:hAnsi="Times New Roman" w:cs="Times New Roman"/>
                <w:sz w:val="20"/>
                <w:szCs w:val="20"/>
                <w:lang w:eastAsia="lv-LV"/>
              </w:rPr>
              <w:t>mikroģenerators</w:t>
            </w:r>
            <w:proofErr w:type="spellEnd"/>
            <w:r w:rsidR="001D3EB1" w:rsidRPr="00D54781">
              <w:rPr>
                <w:rFonts w:ascii="Times New Roman" w:eastAsiaTheme="minorEastAsia" w:hAnsi="Times New Roman" w:cs="Times New Roman"/>
                <w:sz w:val="20"/>
                <w:szCs w:val="20"/>
                <w:lang w:eastAsia="lv-LV"/>
              </w:rPr>
              <w:t xml:space="preserve"> dzīves cikla laikā atbilst Komisijas regulai (ES) 2016/631</w:t>
            </w:r>
            <w:r w:rsidR="00016433" w:rsidRPr="00D54781">
              <w:rPr>
                <w:rFonts w:ascii="Times New Roman" w:eastAsiaTheme="minorEastAsia" w:hAnsi="Times New Roman" w:cs="Times New Roman"/>
                <w:sz w:val="20"/>
                <w:szCs w:val="20"/>
                <w:lang w:eastAsia="lv-LV"/>
              </w:rPr>
              <w:t xml:space="preserve"> (2016. gada 14. aprīlis)</w:t>
            </w:r>
            <w:r w:rsidR="001D3EB1" w:rsidRPr="00D54781">
              <w:rPr>
                <w:rFonts w:ascii="Times New Roman" w:eastAsiaTheme="minorEastAsia" w:hAnsi="Times New Roman" w:cs="Times New Roman"/>
                <w:sz w:val="20"/>
                <w:szCs w:val="20"/>
                <w:lang w:eastAsia="lv-LV"/>
              </w:rPr>
              <w:t>, ar ko izveido tīkla kodeksu par ģeneratoriem piemērojamajām tīkla pieslēguma prasībām.</w:t>
            </w:r>
          </w:p>
        </w:tc>
      </w:tr>
      <w:tr w:rsidR="00D54781" w:rsidRPr="00D54781" w14:paraId="2683E380" w14:textId="77777777" w:rsidTr="00C668EB">
        <w:tc>
          <w:tcPr>
            <w:tcW w:w="9923" w:type="dxa"/>
            <w:gridSpan w:val="3"/>
          </w:tcPr>
          <w:p w14:paraId="68C69D0D" w14:textId="77777777" w:rsidR="0002188B" w:rsidRPr="00D54781" w:rsidRDefault="0002188B" w:rsidP="0080359E">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7</w:t>
            </w:r>
            <w:r w:rsidR="00FC686E" w:rsidRPr="00D54781">
              <w:rPr>
                <w:rFonts w:ascii="Times New Roman" w:eastAsiaTheme="minorEastAsia" w:hAnsi="Times New Roman" w:cs="Times New Roman"/>
                <w:sz w:val="20"/>
                <w:szCs w:val="20"/>
                <w:lang w:eastAsia="lv-LV"/>
              </w:rPr>
              <w:t>.</w:t>
            </w:r>
            <w:r w:rsidR="00FC686E" w:rsidRPr="00D54781">
              <w:t xml:space="preserve"> </w:t>
            </w:r>
            <w:r w:rsidR="00FC686E" w:rsidRPr="00D54781">
              <w:rPr>
                <w:rFonts w:ascii="Times New Roman" w:eastAsiaTheme="minorEastAsia" w:hAnsi="Times New Roman" w:cs="Times New Roman"/>
                <w:sz w:val="20"/>
                <w:szCs w:val="20"/>
                <w:lang w:eastAsia="lv-LV"/>
              </w:rPr>
              <w:t xml:space="preserve">LIETOTĀJS ir atbildīgs par mikroģeneratora invertora aizsardzības un dalīšanas automātikas darbību, kas nodrošina, ka </w:t>
            </w:r>
            <w:proofErr w:type="spellStart"/>
            <w:r w:rsidR="00FC686E" w:rsidRPr="00D54781">
              <w:rPr>
                <w:rFonts w:ascii="Times New Roman" w:eastAsiaTheme="minorEastAsia" w:hAnsi="Times New Roman" w:cs="Times New Roman"/>
                <w:sz w:val="20"/>
                <w:szCs w:val="20"/>
                <w:lang w:eastAsia="lv-LV"/>
              </w:rPr>
              <w:t>mikroģenerators</w:t>
            </w:r>
            <w:proofErr w:type="spellEnd"/>
            <w:r w:rsidR="00FC686E" w:rsidRPr="00D54781">
              <w:rPr>
                <w:rFonts w:ascii="Times New Roman" w:eastAsiaTheme="minorEastAsia" w:hAnsi="Times New Roman" w:cs="Times New Roman"/>
                <w:sz w:val="20"/>
                <w:szCs w:val="20"/>
                <w:lang w:eastAsia="lv-LV"/>
              </w:rPr>
              <w:t xml:space="preserve"> pārtrauc elektroenerģijas padevi elektrotīklā, ja SSO nenodrošina sprieguma padevi līdz Līdzēju elektroietaišu piederības robežai (piemēram, bojājumu vai citu iemeslu dēļ).</w:t>
            </w:r>
            <w:r w:rsidR="006E3B2C" w:rsidRPr="00D54781">
              <w:rPr>
                <w:rFonts w:ascii="Times New Roman" w:eastAsiaTheme="minorEastAsia" w:hAnsi="Times New Roman" w:cs="Times New Roman"/>
                <w:sz w:val="20"/>
                <w:szCs w:val="20"/>
                <w:lang w:eastAsia="lv-LV"/>
              </w:rPr>
              <w:t xml:space="preserve"> LIETOTĀJS ir atbildīgs par to, lai mikroģeneratora ekspluatācija nepasliktinātu elektroenerģijas piegādes kvalitāti citiem lietotājiem.</w:t>
            </w:r>
          </w:p>
        </w:tc>
      </w:tr>
      <w:tr w:rsidR="00A33617" w:rsidRPr="00D54781" w14:paraId="2D9B7A9A" w14:textId="77777777" w:rsidTr="00C668EB">
        <w:tc>
          <w:tcPr>
            <w:tcW w:w="9923" w:type="dxa"/>
            <w:gridSpan w:val="3"/>
          </w:tcPr>
          <w:p w14:paraId="2CBB6EEE" w14:textId="77777777" w:rsidR="00A33617" w:rsidRPr="00D54781" w:rsidRDefault="00A33617" w:rsidP="00B21176">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B21176" w:rsidRPr="00D54781">
              <w:rPr>
                <w:rFonts w:ascii="Times New Roman" w:eastAsiaTheme="minorEastAsia" w:hAnsi="Times New Roman" w:cs="Times New Roman"/>
                <w:sz w:val="20"/>
                <w:szCs w:val="20"/>
                <w:lang w:eastAsia="lv-LV"/>
              </w:rPr>
              <w:t>8</w:t>
            </w:r>
            <w:r w:rsidRPr="00D54781">
              <w:rPr>
                <w:rFonts w:ascii="Times New Roman" w:eastAsiaTheme="minorEastAsia" w:hAnsi="Times New Roman" w:cs="Times New Roman"/>
                <w:sz w:val="20"/>
                <w:szCs w:val="20"/>
                <w:lang w:eastAsia="lv-LV"/>
              </w:rPr>
              <w:t>. SSO ir tiesīgs prasīt LIETOTĀJAM kompensēt materiālos zaudējumus un izdevumus, kas radušies mikroģeneratora nepareizas aizsardzības darbības rezultātā.</w:t>
            </w:r>
          </w:p>
        </w:tc>
      </w:tr>
    </w:tbl>
    <w:p w14:paraId="40BB2D21" w14:textId="77777777" w:rsidR="0002188B" w:rsidRPr="00D54781" w:rsidRDefault="0002188B" w:rsidP="0002188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14:paraId="67BF13E4" w14:textId="77777777" w:rsidR="00B21176" w:rsidRPr="00D54781" w:rsidRDefault="00B21176" w:rsidP="0002188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bl>
      <w:tblPr>
        <w:tblStyle w:val="TableGrid"/>
        <w:tblW w:w="0" w:type="auto"/>
        <w:tblInd w:w="137" w:type="dxa"/>
        <w:tblLook w:val="04A0" w:firstRow="1" w:lastRow="0" w:firstColumn="1" w:lastColumn="0" w:noHBand="0" w:noVBand="1"/>
      </w:tblPr>
      <w:tblGrid>
        <w:gridCol w:w="4791"/>
        <w:gridCol w:w="2566"/>
        <w:gridCol w:w="2566"/>
      </w:tblGrid>
      <w:tr w:rsidR="00D54781" w:rsidRPr="00D54781" w14:paraId="2D1B800A" w14:textId="77777777" w:rsidTr="0002188B">
        <w:tc>
          <w:tcPr>
            <w:tcW w:w="9923" w:type="dxa"/>
            <w:gridSpan w:val="3"/>
            <w:shd w:val="clear" w:color="auto" w:fill="BFBFBF" w:themeFill="background1" w:themeFillShade="BF"/>
          </w:tcPr>
          <w:p w14:paraId="286B07EB" w14:textId="77777777" w:rsidR="0002188B" w:rsidRPr="00D54781" w:rsidRDefault="0002188B" w:rsidP="00E73F48">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b/>
                <w:sz w:val="20"/>
                <w:szCs w:val="20"/>
                <w:lang w:eastAsia="lv-LV"/>
              </w:rPr>
              <w:t xml:space="preserve">2. Īpašie nosacījumi </w:t>
            </w:r>
            <w:r w:rsidR="00E73F48" w:rsidRPr="00D54781">
              <w:rPr>
                <w:rFonts w:ascii="Times New Roman" w:eastAsiaTheme="minorEastAsia" w:hAnsi="Times New Roman" w:cs="Times New Roman"/>
                <w:b/>
                <w:sz w:val="20"/>
                <w:szCs w:val="20"/>
                <w:lang w:eastAsia="lv-LV"/>
              </w:rPr>
              <w:t>elektrostacijai</w:t>
            </w:r>
            <w:r w:rsidRPr="00D54781">
              <w:rPr>
                <w:rFonts w:ascii="Times New Roman" w:eastAsiaTheme="minorEastAsia" w:hAnsi="Times New Roman" w:cs="Times New Roman"/>
                <w:sz w:val="20"/>
                <w:szCs w:val="20"/>
                <w:lang w:eastAsia="lv-LV"/>
              </w:rPr>
              <w:t xml:space="preserve"> </w:t>
            </w:r>
          </w:p>
        </w:tc>
      </w:tr>
      <w:tr w:rsidR="00D54781" w:rsidRPr="00D54781" w14:paraId="45B48A62" w14:textId="77777777" w:rsidTr="00DC2EE0">
        <w:tc>
          <w:tcPr>
            <w:tcW w:w="9923" w:type="dxa"/>
            <w:gridSpan w:val="3"/>
            <w:shd w:val="clear" w:color="auto" w:fill="auto"/>
          </w:tcPr>
          <w:p w14:paraId="130BC5EB" w14:textId="77777777" w:rsidR="00DC2EE0" w:rsidRPr="00D54781" w:rsidRDefault="00DC2EE0" w:rsidP="00EF1C26">
            <w:pPr>
              <w:widowControl w:val="0"/>
              <w:autoSpaceDE w:val="0"/>
              <w:autoSpaceDN w:val="0"/>
              <w:adjustRightInd w:val="0"/>
              <w:ind w:right="105"/>
              <w:jc w:val="both"/>
              <w:rPr>
                <w:rFonts w:ascii="Times New Roman" w:eastAsiaTheme="minorEastAsia" w:hAnsi="Times New Roman" w:cs="Times New Roman"/>
                <w:noProof/>
                <w:sz w:val="20"/>
                <w:szCs w:val="20"/>
                <w:highlight w:val="lightGray"/>
                <w:lang w:eastAsia="lv-LV"/>
              </w:rPr>
            </w:pPr>
            <w:r w:rsidRPr="00D54781">
              <w:rPr>
                <w:rFonts w:ascii="Times New Roman" w:eastAsiaTheme="minorEastAsia" w:hAnsi="Times New Roman" w:cs="Times New Roman"/>
                <w:noProof/>
                <w:sz w:val="20"/>
                <w:szCs w:val="20"/>
                <w:lang w:eastAsia="lv-LV"/>
              </w:rPr>
              <w:t xml:space="preserve">2.1. Par elektrostaciju tiek uzskatītas elektroietaises maiņstrāvas elektroenerģijas ražošanai ar </w:t>
            </w:r>
            <w:r w:rsidR="00733067" w:rsidRPr="00D54781">
              <w:rPr>
                <w:rFonts w:ascii="Times New Roman" w:eastAsiaTheme="minorEastAsia" w:hAnsi="Times New Roman" w:cs="Times New Roman"/>
                <w:noProof/>
                <w:sz w:val="20"/>
                <w:szCs w:val="20"/>
                <w:lang w:eastAsia="lv-LV"/>
              </w:rPr>
              <w:t>vien</w:t>
            </w:r>
            <w:r w:rsidRPr="00D54781">
              <w:rPr>
                <w:rFonts w:ascii="Times New Roman" w:eastAsiaTheme="minorEastAsia" w:hAnsi="Times New Roman" w:cs="Times New Roman"/>
                <w:noProof/>
                <w:sz w:val="20"/>
                <w:szCs w:val="20"/>
                <w:lang w:eastAsia="lv-LV"/>
              </w:rPr>
              <w:t xml:space="preserve">fāzes vai </w:t>
            </w:r>
            <w:r w:rsidR="00733067" w:rsidRPr="00D54781">
              <w:rPr>
                <w:rFonts w:ascii="Times New Roman" w:eastAsiaTheme="minorEastAsia" w:hAnsi="Times New Roman" w:cs="Times New Roman"/>
                <w:noProof/>
                <w:sz w:val="20"/>
                <w:szCs w:val="20"/>
                <w:lang w:eastAsia="lv-LV"/>
              </w:rPr>
              <w:t>trīs</w:t>
            </w:r>
            <w:r w:rsidRPr="00D54781">
              <w:rPr>
                <w:rFonts w:ascii="Times New Roman" w:eastAsiaTheme="minorEastAsia" w:hAnsi="Times New Roman" w:cs="Times New Roman"/>
                <w:noProof/>
                <w:sz w:val="20"/>
                <w:szCs w:val="20"/>
                <w:lang w:eastAsia="lv-LV"/>
              </w:rPr>
              <w:t>fāžu darba strāvu lielāku par 16 ampēriem (attiecīgi</w:t>
            </w:r>
            <w:r w:rsidR="00EF1C26">
              <w:rPr>
                <w:rFonts w:ascii="Times New Roman" w:eastAsiaTheme="minorEastAsia" w:hAnsi="Times New Roman" w:cs="Times New Roman"/>
                <w:noProof/>
                <w:sz w:val="20"/>
                <w:szCs w:val="20"/>
                <w:lang w:eastAsia="lv-LV"/>
              </w:rPr>
              <w:t xml:space="preserve"> </w:t>
            </w:r>
            <w:r w:rsidR="00EF1C26" w:rsidRPr="004334F3">
              <w:rPr>
                <w:rFonts w:ascii="Times New Roman" w:eastAsiaTheme="minorEastAsia" w:hAnsi="Times New Roman" w:cs="Times New Roman"/>
                <w:noProof/>
                <w:sz w:val="20"/>
                <w:szCs w:val="20"/>
                <w:lang w:eastAsia="lv-LV"/>
              </w:rPr>
              <w:t>ar lielāku jaudu</w:t>
            </w:r>
            <w:r w:rsidRPr="004334F3">
              <w:rPr>
                <w:rFonts w:ascii="Times New Roman" w:eastAsiaTheme="minorEastAsia" w:hAnsi="Times New Roman" w:cs="Times New Roman"/>
                <w:noProof/>
                <w:sz w:val="20"/>
                <w:szCs w:val="20"/>
                <w:lang w:eastAsia="lv-LV"/>
              </w:rPr>
              <w:t xml:space="preserve"> </w:t>
            </w:r>
            <w:r w:rsidR="00EF1C26" w:rsidRPr="004334F3">
              <w:rPr>
                <w:rFonts w:ascii="Times New Roman" w:eastAsiaTheme="minorEastAsia" w:hAnsi="Times New Roman" w:cs="Times New Roman"/>
                <w:noProof/>
                <w:sz w:val="20"/>
                <w:szCs w:val="20"/>
                <w:lang w:eastAsia="lv-LV"/>
              </w:rPr>
              <w:t>par</w:t>
            </w:r>
            <w:r w:rsidR="00EF1C26">
              <w:rPr>
                <w:rFonts w:ascii="Times New Roman" w:eastAsiaTheme="minorEastAsia" w:hAnsi="Times New Roman" w:cs="Times New Roman"/>
                <w:noProof/>
                <w:sz w:val="20"/>
                <w:szCs w:val="20"/>
                <w:lang w:eastAsia="lv-LV"/>
              </w:rPr>
              <w:t xml:space="preserve"> </w:t>
            </w:r>
            <w:r w:rsidRPr="00D54781">
              <w:rPr>
                <w:rFonts w:ascii="Times New Roman" w:eastAsiaTheme="minorEastAsia" w:hAnsi="Times New Roman" w:cs="Times New Roman"/>
                <w:noProof/>
                <w:sz w:val="20"/>
                <w:szCs w:val="20"/>
                <w:lang w:eastAsia="lv-LV"/>
              </w:rPr>
              <w:t>3,68 kW</w:t>
            </w:r>
            <w:r w:rsidR="00733067" w:rsidRPr="00D54781">
              <w:rPr>
                <w:rFonts w:ascii="Times New Roman" w:eastAsiaTheme="minorEastAsia" w:hAnsi="Times New Roman" w:cs="Times New Roman"/>
                <w:noProof/>
                <w:sz w:val="20"/>
                <w:szCs w:val="20"/>
                <w:lang w:eastAsia="lv-LV"/>
              </w:rPr>
              <w:t xml:space="preserve"> vienfāzes elektrotīklā </w:t>
            </w:r>
            <w:r w:rsidRPr="00D54781">
              <w:rPr>
                <w:rFonts w:ascii="Times New Roman" w:eastAsiaTheme="minorEastAsia" w:hAnsi="Times New Roman" w:cs="Times New Roman"/>
                <w:noProof/>
                <w:sz w:val="20"/>
                <w:szCs w:val="20"/>
                <w:lang w:eastAsia="lv-LV"/>
              </w:rPr>
              <w:t xml:space="preserve"> vai 11 kW</w:t>
            </w:r>
            <w:r w:rsidR="00733067" w:rsidRPr="00D54781">
              <w:rPr>
                <w:rFonts w:ascii="Times New Roman" w:eastAsiaTheme="minorEastAsia" w:hAnsi="Times New Roman" w:cs="Times New Roman"/>
                <w:noProof/>
                <w:sz w:val="20"/>
                <w:szCs w:val="20"/>
                <w:lang w:eastAsia="lv-LV"/>
              </w:rPr>
              <w:t xml:space="preserve"> trīsfāžu elektrotīklā</w:t>
            </w:r>
            <w:r w:rsidRPr="00D54781">
              <w:rPr>
                <w:rFonts w:ascii="Times New Roman" w:eastAsiaTheme="minorEastAsia" w:hAnsi="Times New Roman" w:cs="Times New Roman"/>
                <w:noProof/>
                <w:sz w:val="20"/>
                <w:szCs w:val="20"/>
                <w:lang w:eastAsia="lv-LV"/>
              </w:rPr>
              <w:t>), kas paredzētas paralēlam darbam ar sadales elektrotīklu.</w:t>
            </w:r>
          </w:p>
        </w:tc>
      </w:tr>
      <w:tr w:rsidR="00D54781" w:rsidRPr="00D54781" w14:paraId="6C04EF71" w14:textId="77777777" w:rsidTr="00140647">
        <w:tc>
          <w:tcPr>
            <w:tcW w:w="4791" w:type="dxa"/>
          </w:tcPr>
          <w:p w14:paraId="3A2DAC6A" w14:textId="77777777" w:rsidR="00B70ED4" w:rsidRPr="00D54781" w:rsidRDefault="00B70ED4" w:rsidP="00DC2EE0">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DC2EE0" w:rsidRPr="00D54781">
              <w:rPr>
                <w:rFonts w:ascii="Times New Roman" w:eastAsiaTheme="minorEastAsia" w:hAnsi="Times New Roman" w:cs="Times New Roman"/>
                <w:sz w:val="20"/>
                <w:szCs w:val="20"/>
                <w:lang w:eastAsia="lv-LV"/>
              </w:rPr>
              <w:t>2</w:t>
            </w:r>
            <w:r w:rsidRPr="00D54781">
              <w:rPr>
                <w:rFonts w:ascii="Times New Roman" w:eastAsiaTheme="minorEastAsia" w:hAnsi="Times New Roman" w:cs="Times New Roman"/>
                <w:sz w:val="20"/>
                <w:szCs w:val="20"/>
                <w:lang w:eastAsia="lv-LV"/>
              </w:rPr>
              <w:t>. Atļaujas numurs un atļautā elekt</w:t>
            </w:r>
            <w:r w:rsidR="007433B5">
              <w:rPr>
                <w:rFonts w:ascii="Times New Roman" w:eastAsiaTheme="minorEastAsia" w:hAnsi="Times New Roman" w:cs="Times New Roman"/>
                <w:sz w:val="20"/>
                <w:szCs w:val="20"/>
                <w:lang w:eastAsia="lv-LV"/>
              </w:rPr>
              <w:t>riskā ražošanas jauda kilovatos</w:t>
            </w:r>
          </w:p>
        </w:tc>
        <w:tc>
          <w:tcPr>
            <w:tcW w:w="2566" w:type="dxa"/>
          </w:tcPr>
          <w:p w14:paraId="053C3E0C" w14:textId="77777777" w:rsidR="00B70ED4" w:rsidRPr="00D54781" w:rsidRDefault="00B70ED4" w:rsidP="0002188B">
            <w:pPr>
              <w:widowControl w:val="0"/>
              <w:autoSpaceDE w:val="0"/>
              <w:autoSpaceDN w:val="0"/>
              <w:adjustRightInd w:val="0"/>
              <w:ind w:right="105"/>
              <w:jc w:val="both"/>
              <w:rPr>
                <w:rFonts w:ascii="Times New Roman" w:eastAsiaTheme="minorEastAsia" w:hAnsi="Times New Roman" w:cs="Times New Roman"/>
                <w:noProof/>
                <w:sz w:val="20"/>
                <w:szCs w:val="20"/>
                <w:lang w:eastAsia="lv-LV"/>
              </w:rPr>
            </w:pPr>
          </w:p>
        </w:tc>
        <w:tc>
          <w:tcPr>
            <w:tcW w:w="2566" w:type="dxa"/>
          </w:tcPr>
          <w:p w14:paraId="7324F62C" w14:textId="77777777" w:rsidR="00B70ED4" w:rsidRPr="00D54781" w:rsidRDefault="00B70ED4" w:rsidP="0002188B">
            <w:pPr>
              <w:widowControl w:val="0"/>
              <w:autoSpaceDE w:val="0"/>
              <w:autoSpaceDN w:val="0"/>
              <w:adjustRightInd w:val="0"/>
              <w:ind w:right="105"/>
              <w:jc w:val="both"/>
              <w:rPr>
                <w:rFonts w:ascii="Times New Roman" w:eastAsiaTheme="minorEastAsia" w:hAnsi="Times New Roman" w:cs="Times New Roman"/>
                <w:noProof/>
                <w:sz w:val="20"/>
                <w:szCs w:val="20"/>
                <w:lang w:eastAsia="lv-LV"/>
              </w:rPr>
            </w:pPr>
          </w:p>
        </w:tc>
      </w:tr>
      <w:tr w:rsidR="00D54781" w:rsidRPr="00D54781" w14:paraId="41A0A20D" w14:textId="77777777" w:rsidTr="00C668EB">
        <w:tc>
          <w:tcPr>
            <w:tcW w:w="4791" w:type="dxa"/>
          </w:tcPr>
          <w:p w14:paraId="1462ACD4" w14:textId="77777777" w:rsidR="0002188B" w:rsidRPr="00D54781" w:rsidRDefault="00B575EE" w:rsidP="00DC2EE0">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DC2EE0" w:rsidRPr="00D54781">
              <w:rPr>
                <w:rFonts w:ascii="Times New Roman" w:eastAsiaTheme="minorEastAsia" w:hAnsi="Times New Roman" w:cs="Times New Roman"/>
                <w:sz w:val="20"/>
                <w:szCs w:val="20"/>
                <w:lang w:eastAsia="lv-LV"/>
              </w:rPr>
              <w:t>3</w:t>
            </w:r>
            <w:r w:rsidRPr="00D54781">
              <w:rPr>
                <w:rFonts w:ascii="Times New Roman" w:eastAsiaTheme="minorEastAsia" w:hAnsi="Times New Roman" w:cs="Times New Roman"/>
                <w:sz w:val="20"/>
                <w:szCs w:val="20"/>
                <w:lang w:eastAsia="lv-LV"/>
              </w:rPr>
              <w:t>. Ražotāja tips</w:t>
            </w:r>
          </w:p>
        </w:tc>
        <w:tc>
          <w:tcPr>
            <w:tcW w:w="5132" w:type="dxa"/>
            <w:gridSpan w:val="2"/>
          </w:tcPr>
          <w:p w14:paraId="288CEE59"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71019F4E" w14:textId="77777777" w:rsidTr="00C668EB">
        <w:tc>
          <w:tcPr>
            <w:tcW w:w="4791" w:type="dxa"/>
          </w:tcPr>
          <w:p w14:paraId="4A759EC5" w14:textId="77777777" w:rsidR="00E73F48" w:rsidRPr="00D54781" w:rsidRDefault="00E73F48" w:rsidP="00DC2EE0">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DC2EE0" w:rsidRPr="00D54781">
              <w:rPr>
                <w:rFonts w:ascii="Times New Roman" w:eastAsiaTheme="minorEastAsia" w:hAnsi="Times New Roman" w:cs="Times New Roman"/>
                <w:sz w:val="20"/>
                <w:szCs w:val="20"/>
                <w:lang w:eastAsia="lv-LV"/>
              </w:rPr>
              <w:t>4</w:t>
            </w:r>
            <w:r w:rsidRPr="00D54781">
              <w:rPr>
                <w:rFonts w:ascii="Times New Roman" w:eastAsiaTheme="minorEastAsia" w:hAnsi="Times New Roman" w:cs="Times New Roman"/>
                <w:sz w:val="20"/>
                <w:szCs w:val="20"/>
                <w:lang w:eastAsia="lv-LV"/>
              </w:rPr>
              <w:t xml:space="preserve">. </w:t>
            </w:r>
            <w:r w:rsidR="00B70ED4" w:rsidRPr="00D54781">
              <w:rPr>
                <w:rFonts w:ascii="Times New Roman" w:eastAsiaTheme="minorEastAsia" w:hAnsi="Times New Roman" w:cs="Times New Roman"/>
                <w:sz w:val="20"/>
                <w:szCs w:val="20"/>
                <w:lang w:eastAsia="lv-LV"/>
              </w:rPr>
              <w:t>Elektrostaciju atļauts</w:t>
            </w:r>
            <w:r w:rsidRPr="00D54781">
              <w:rPr>
                <w:rFonts w:ascii="Times New Roman" w:eastAsiaTheme="minorEastAsia" w:hAnsi="Times New Roman" w:cs="Times New Roman"/>
                <w:sz w:val="20"/>
                <w:szCs w:val="20"/>
                <w:lang w:eastAsia="lv-LV"/>
              </w:rPr>
              <w:t xml:space="preserve"> pieslēgt</w:t>
            </w:r>
            <w:r w:rsidR="00B70ED4" w:rsidRPr="00D54781">
              <w:rPr>
                <w:rFonts w:ascii="Times New Roman" w:eastAsiaTheme="minorEastAsia" w:hAnsi="Times New Roman" w:cs="Times New Roman"/>
                <w:sz w:val="20"/>
                <w:szCs w:val="20"/>
                <w:lang w:eastAsia="lv-LV"/>
              </w:rPr>
              <w:t xml:space="preserve"> para</w:t>
            </w:r>
            <w:r w:rsidR="007433B5">
              <w:rPr>
                <w:rFonts w:ascii="Times New Roman" w:eastAsiaTheme="minorEastAsia" w:hAnsi="Times New Roman" w:cs="Times New Roman"/>
                <w:sz w:val="20"/>
                <w:szCs w:val="20"/>
                <w:lang w:eastAsia="lv-LV"/>
              </w:rPr>
              <w:t>lēlam darbam ar sadales sistēmu</w:t>
            </w:r>
          </w:p>
        </w:tc>
        <w:tc>
          <w:tcPr>
            <w:tcW w:w="5132" w:type="dxa"/>
            <w:gridSpan w:val="2"/>
          </w:tcPr>
          <w:p w14:paraId="1D58C170" w14:textId="77777777" w:rsidR="00E73F48" w:rsidRPr="00D54781" w:rsidRDefault="00E73F48" w:rsidP="0002188B">
            <w:pPr>
              <w:widowControl w:val="0"/>
              <w:autoSpaceDE w:val="0"/>
              <w:autoSpaceDN w:val="0"/>
              <w:adjustRightInd w:val="0"/>
              <w:ind w:right="105"/>
              <w:jc w:val="both"/>
              <w:rPr>
                <w:rFonts w:ascii="Times New Roman" w:eastAsiaTheme="minorEastAsia" w:hAnsi="Times New Roman" w:cs="Times New Roman"/>
                <w:noProof/>
                <w:sz w:val="20"/>
                <w:szCs w:val="20"/>
                <w:lang w:eastAsia="lv-LV"/>
              </w:rPr>
            </w:pPr>
          </w:p>
        </w:tc>
      </w:tr>
      <w:tr w:rsidR="00D54781" w:rsidRPr="00D54781" w14:paraId="290DBBE3" w14:textId="77777777" w:rsidTr="00C668EB">
        <w:tc>
          <w:tcPr>
            <w:tcW w:w="9923" w:type="dxa"/>
            <w:gridSpan w:val="3"/>
          </w:tcPr>
          <w:p w14:paraId="66496753" w14:textId="77777777" w:rsidR="0002188B" w:rsidRPr="00D54781" w:rsidRDefault="0002188B" w:rsidP="00DC42E9">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DC2EE0" w:rsidRPr="00D54781">
              <w:rPr>
                <w:rFonts w:ascii="Times New Roman" w:eastAsiaTheme="minorEastAsia" w:hAnsi="Times New Roman" w:cs="Times New Roman"/>
                <w:sz w:val="20"/>
                <w:szCs w:val="20"/>
                <w:lang w:eastAsia="lv-LV"/>
              </w:rPr>
              <w:t>5</w:t>
            </w:r>
            <w:r w:rsidRPr="00D54781">
              <w:rPr>
                <w:rFonts w:ascii="Times New Roman" w:eastAsiaTheme="minorEastAsia" w:hAnsi="Times New Roman" w:cs="Times New Roman"/>
                <w:sz w:val="20"/>
                <w:szCs w:val="20"/>
                <w:lang w:eastAsia="lv-LV"/>
              </w:rPr>
              <w:t xml:space="preserve">. </w:t>
            </w:r>
            <w:r w:rsidR="005B42BE" w:rsidRPr="00D54781">
              <w:rPr>
                <w:rFonts w:ascii="Times New Roman" w:eastAsiaTheme="minorEastAsia" w:hAnsi="Times New Roman" w:cs="Times New Roman"/>
                <w:sz w:val="20"/>
                <w:szCs w:val="20"/>
                <w:lang w:eastAsia="lv-LV"/>
              </w:rPr>
              <w:t xml:space="preserve">Elektrostacijas ekspluatācijas laikā LIETOTĀJAM bez iepriekšējas SSO informēšanas aizliegts mainīt </w:t>
            </w:r>
            <w:r w:rsidR="005B42BE" w:rsidRPr="00D54781">
              <w:rPr>
                <w:rFonts w:ascii="Times New Roman" w:eastAsiaTheme="minorEastAsia" w:hAnsi="Times New Roman" w:cs="Times New Roman"/>
                <w:sz w:val="20"/>
                <w:szCs w:val="20"/>
                <w:lang w:eastAsia="lv-LV"/>
              </w:rPr>
              <w:lastRenderedPageBreak/>
              <w:t xml:space="preserve">elektrostacijas ģeneratora/(-u) </w:t>
            </w:r>
            <w:r w:rsidR="006243CB" w:rsidRPr="004334F3">
              <w:rPr>
                <w:rFonts w:ascii="Times New Roman" w:eastAsiaTheme="minorEastAsia" w:hAnsi="Times New Roman" w:cs="Times New Roman"/>
                <w:sz w:val="20"/>
                <w:szCs w:val="20"/>
                <w:lang w:eastAsia="lv-LV"/>
              </w:rPr>
              <w:t xml:space="preserve">un iekārtu </w:t>
            </w:r>
            <w:r w:rsidR="005B42BE" w:rsidRPr="00D54781">
              <w:rPr>
                <w:rFonts w:ascii="Times New Roman" w:eastAsiaTheme="minorEastAsia" w:hAnsi="Times New Roman" w:cs="Times New Roman"/>
                <w:sz w:val="20"/>
                <w:szCs w:val="20"/>
                <w:lang w:eastAsia="lv-LV"/>
              </w:rPr>
              <w:t>uzbūvi, releju aizsardzības un automātikas iekārtu iestatījumus. Ja elektrostacijas ekspluatācijas laikā SSO konstatē, ka LIETOTĀJS neinformējot SSO ir veicis izmaiņas elektrostacijas ģeneratora/(-u) uzbūvē vai releju aizsardzības un automātikas iestatījumos, SSO ir tiesīgs atslēgt elektrostaciju no elektrotīkla. Ja elektrostacija pieslēgta elektrotīklam pēc 2019.gada 27.aprīļa, LIETOTĀJS nodrošina, ka elektrostacija dzīves cikla laikā atbilst Komisijas regulai (ES) 2016/631</w:t>
            </w:r>
            <w:r w:rsidR="00016433" w:rsidRPr="00D54781">
              <w:rPr>
                <w:rFonts w:ascii="Times New Roman" w:eastAsiaTheme="minorEastAsia" w:hAnsi="Times New Roman" w:cs="Times New Roman"/>
                <w:sz w:val="20"/>
                <w:szCs w:val="20"/>
                <w:lang w:eastAsia="lv-LV"/>
              </w:rPr>
              <w:t xml:space="preserve"> (2016. gada 14. aprīlis)</w:t>
            </w:r>
            <w:r w:rsidR="005B42BE" w:rsidRPr="00D54781">
              <w:rPr>
                <w:rFonts w:ascii="Times New Roman" w:eastAsiaTheme="minorEastAsia" w:hAnsi="Times New Roman" w:cs="Times New Roman"/>
                <w:sz w:val="20"/>
                <w:szCs w:val="20"/>
                <w:lang w:eastAsia="lv-LV"/>
              </w:rPr>
              <w:t>, ar ko izveido tīkla kodeksu par ģeneratoriem piemērojamajām tīkla pieslēguma prasībām.</w:t>
            </w:r>
          </w:p>
        </w:tc>
      </w:tr>
      <w:tr w:rsidR="00D54781" w:rsidRPr="00D54781" w14:paraId="51073C3E" w14:textId="77777777" w:rsidTr="00C668EB">
        <w:tc>
          <w:tcPr>
            <w:tcW w:w="9923" w:type="dxa"/>
            <w:gridSpan w:val="3"/>
          </w:tcPr>
          <w:p w14:paraId="0EEDBA0D" w14:textId="77777777" w:rsidR="0002188B" w:rsidRPr="00D54781" w:rsidRDefault="0002188B" w:rsidP="00ED46F2">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lastRenderedPageBreak/>
              <w:t>2.</w:t>
            </w:r>
            <w:r w:rsidR="00DC2EE0" w:rsidRPr="00D54781">
              <w:rPr>
                <w:rFonts w:ascii="Times New Roman" w:eastAsiaTheme="minorEastAsia" w:hAnsi="Times New Roman" w:cs="Times New Roman"/>
                <w:sz w:val="20"/>
                <w:szCs w:val="20"/>
                <w:lang w:eastAsia="lv-LV"/>
              </w:rPr>
              <w:t>6</w:t>
            </w:r>
            <w:r w:rsidRPr="00D54781">
              <w:rPr>
                <w:rFonts w:ascii="Times New Roman" w:eastAsiaTheme="minorEastAsia" w:hAnsi="Times New Roman" w:cs="Times New Roman"/>
                <w:sz w:val="20"/>
                <w:szCs w:val="20"/>
                <w:lang w:eastAsia="lv-LV"/>
              </w:rPr>
              <w:t xml:space="preserve">. </w:t>
            </w:r>
            <w:r w:rsidR="004D1D1B" w:rsidRPr="00D54781">
              <w:rPr>
                <w:rFonts w:ascii="Times New Roman" w:eastAsiaTheme="minorEastAsia" w:hAnsi="Times New Roman" w:cs="Times New Roman"/>
                <w:sz w:val="20"/>
                <w:szCs w:val="20"/>
                <w:lang w:eastAsia="lv-LV"/>
              </w:rPr>
              <w:t>LIETOTĀJS ir atbildīgs par elektrostacijas releju aizsardzības un dalīšanas automātikas darbību, kas nodrošina, ka elektrostacija pārtrauc elektroenerģijas padevi elektrotīklā, ja SSO nenodrošina sprieguma padevi līdz Līdzēju elektroietaišu piederības robežai (piemēram, bojājumu vai citu iemeslu dēļ).</w:t>
            </w:r>
            <w:r w:rsidRPr="00D54781">
              <w:rPr>
                <w:rFonts w:ascii="Times New Roman" w:eastAsiaTheme="minorEastAsia" w:hAnsi="Times New Roman" w:cs="Times New Roman"/>
                <w:sz w:val="20"/>
                <w:szCs w:val="20"/>
                <w:lang w:eastAsia="lv-LV"/>
              </w:rPr>
              <w:t xml:space="preserve"> </w:t>
            </w:r>
            <w:r w:rsidR="00087469" w:rsidRPr="00D54781">
              <w:rPr>
                <w:rFonts w:ascii="Times New Roman" w:eastAsiaTheme="minorEastAsia" w:hAnsi="Times New Roman" w:cs="Times New Roman"/>
                <w:sz w:val="20"/>
                <w:szCs w:val="20"/>
                <w:lang w:eastAsia="lv-LV"/>
              </w:rPr>
              <w:t xml:space="preserve">LIETOTĀJS ir atbildīgs par to, lai elektrostacijas </w:t>
            </w:r>
            <w:r w:rsidR="001160C0" w:rsidRPr="00D54781">
              <w:rPr>
                <w:rFonts w:ascii="Times New Roman" w:eastAsiaTheme="minorEastAsia" w:hAnsi="Times New Roman" w:cs="Times New Roman"/>
                <w:sz w:val="20"/>
                <w:szCs w:val="20"/>
                <w:lang w:eastAsia="lv-LV"/>
              </w:rPr>
              <w:t>darbība</w:t>
            </w:r>
            <w:r w:rsidR="006243CB">
              <w:rPr>
                <w:rFonts w:ascii="Times New Roman" w:eastAsiaTheme="minorEastAsia" w:hAnsi="Times New Roman" w:cs="Times New Roman"/>
                <w:sz w:val="20"/>
                <w:szCs w:val="20"/>
                <w:lang w:eastAsia="lv-LV"/>
              </w:rPr>
              <w:t>s</w:t>
            </w:r>
            <w:r w:rsidR="00087469" w:rsidRPr="00D54781">
              <w:rPr>
                <w:rFonts w:ascii="Times New Roman" w:eastAsiaTheme="minorEastAsia" w:hAnsi="Times New Roman" w:cs="Times New Roman"/>
                <w:sz w:val="20"/>
                <w:szCs w:val="20"/>
                <w:lang w:eastAsia="lv-LV"/>
              </w:rPr>
              <w:t xml:space="preserve"> </w:t>
            </w:r>
            <w:r w:rsidR="00634629" w:rsidRPr="00D54781">
              <w:rPr>
                <w:rFonts w:ascii="Times New Roman" w:eastAsiaTheme="minorEastAsia" w:hAnsi="Times New Roman" w:cs="Times New Roman"/>
                <w:sz w:val="20"/>
                <w:szCs w:val="20"/>
                <w:lang w:eastAsia="lv-LV"/>
              </w:rPr>
              <w:t>ekspluatācija nepasliktinātu elektroenerģijas piegādes kvalitāti citiem lietotājiem.</w:t>
            </w:r>
          </w:p>
        </w:tc>
      </w:tr>
      <w:tr w:rsidR="00EF3C18" w:rsidRPr="00D54781" w14:paraId="78E4AA02" w14:textId="77777777" w:rsidTr="00C668EB">
        <w:tc>
          <w:tcPr>
            <w:tcW w:w="9923" w:type="dxa"/>
            <w:gridSpan w:val="3"/>
          </w:tcPr>
          <w:p w14:paraId="1D9F0738" w14:textId="77777777" w:rsidR="00EF3C18" w:rsidRPr="00D54781" w:rsidRDefault="00B70ED4" w:rsidP="00DC2EE0">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DC2EE0" w:rsidRPr="00D54781">
              <w:rPr>
                <w:rFonts w:ascii="Times New Roman" w:eastAsiaTheme="minorEastAsia" w:hAnsi="Times New Roman" w:cs="Times New Roman"/>
                <w:sz w:val="20"/>
                <w:szCs w:val="20"/>
                <w:lang w:eastAsia="lv-LV"/>
              </w:rPr>
              <w:t>7</w:t>
            </w:r>
            <w:r w:rsidR="00EF3C18" w:rsidRPr="00D54781">
              <w:rPr>
                <w:rFonts w:ascii="Times New Roman" w:eastAsiaTheme="minorEastAsia" w:hAnsi="Times New Roman" w:cs="Times New Roman"/>
                <w:sz w:val="20"/>
                <w:szCs w:val="20"/>
                <w:lang w:eastAsia="lv-LV"/>
              </w:rPr>
              <w:t>. SSO ir tiesīgs prasīt LIETOTĀJAM kompensēt materiālos zaudējumus un izdevumus, kas radušies elektrostacijas nepareizas releju aizsardzības un/vai dalīšanas automātikas darbības rezultātā.</w:t>
            </w:r>
          </w:p>
        </w:tc>
      </w:tr>
    </w:tbl>
    <w:p w14:paraId="775B178B" w14:textId="77777777" w:rsidR="005F70EA" w:rsidRPr="00D54781" w:rsidRDefault="005F70EA" w:rsidP="0002188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14:paraId="7CA32368" w14:textId="77777777" w:rsidR="005F70EA" w:rsidRPr="00D54781" w:rsidRDefault="005F70EA" w:rsidP="0002188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bl>
      <w:tblPr>
        <w:tblStyle w:val="TableGrid"/>
        <w:tblW w:w="0" w:type="auto"/>
        <w:tblInd w:w="137" w:type="dxa"/>
        <w:tblLook w:val="04A0" w:firstRow="1" w:lastRow="0" w:firstColumn="1" w:lastColumn="0" w:noHBand="0" w:noVBand="1"/>
      </w:tblPr>
      <w:tblGrid>
        <w:gridCol w:w="7229"/>
        <w:gridCol w:w="2694"/>
      </w:tblGrid>
      <w:tr w:rsidR="00D54781" w:rsidRPr="00D54781" w14:paraId="1CA0314C" w14:textId="77777777" w:rsidTr="0002188B">
        <w:tc>
          <w:tcPr>
            <w:tcW w:w="9923" w:type="dxa"/>
            <w:gridSpan w:val="2"/>
            <w:shd w:val="clear" w:color="auto" w:fill="BFBFBF" w:themeFill="background1" w:themeFillShade="BF"/>
          </w:tcPr>
          <w:p w14:paraId="19924CFC" w14:textId="77777777" w:rsidR="0002188B" w:rsidRPr="00D54781" w:rsidRDefault="0002188B" w:rsidP="00A14668">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b/>
                <w:sz w:val="20"/>
                <w:szCs w:val="20"/>
                <w:lang w:eastAsia="lv-LV"/>
              </w:rPr>
              <w:t xml:space="preserve">2. </w:t>
            </w:r>
            <w:r w:rsidR="00A14668" w:rsidRPr="00D54781">
              <w:rPr>
                <w:rFonts w:ascii="Times New Roman" w:eastAsiaTheme="minorEastAsia" w:hAnsi="Times New Roman" w:cs="Times New Roman"/>
                <w:b/>
                <w:sz w:val="20"/>
                <w:szCs w:val="20"/>
                <w:lang w:eastAsia="lv-LV"/>
              </w:rPr>
              <w:t>Efektīvas atļautās slodzes izmantošanas nosacījumi</w:t>
            </w:r>
          </w:p>
        </w:tc>
      </w:tr>
      <w:tr w:rsidR="00D54781" w:rsidRPr="00D54781" w14:paraId="54280669" w14:textId="77777777" w:rsidTr="00F3709F">
        <w:tc>
          <w:tcPr>
            <w:tcW w:w="9923" w:type="dxa"/>
            <w:gridSpan w:val="2"/>
            <w:shd w:val="clear" w:color="auto" w:fill="auto"/>
          </w:tcPr>
          <w:p w14:paraId="488FEA9B" w14:textId="77777777" w:rsidR="004D7BA1" w:rsidRPr="00D54781" w:rsidRDefault="004D7BA1" w:rsidP="0087762E">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 xml:space="preserve">2.1. </w:t>
            </w:r>
            <w:r w:rsidR="00A14668" w:rsidRPr="00D54781">
              <w:rPr>
                <w:rFonts w:ascii="Times New Roman" w:eastAsiaTheme="minorEastAsia" w:hAnsi="Times New Roman" w:cs="Times New Roman"/>
                <w:sz w:val="20"/>
                <w:szCs w:val="20"/>
                <w:lang w:eastAsia="lv-LV"/>
              </w:rPr>
              <w:t xml:space="preserve">Nosacījumi attiecas uz jaunu pieslēgumu vai </w:t>
            </w:r>
            <w:r w:rsidR="00843C8B" w:rsidRPr="00D54781">
              <w:rPr>
                <w:rFonts w:ascii="Times New Roman" w:eastAsiaTheme="minorEastAsia" w:hAnsi="Times New Roman" w:cs="Times New Roman"/>
                <w:sz w:val="20"/>
                <w:szCs w:val="20"/>
                <w:lang w:eastAsia="lv-LV"/>
              </w:rPr>
              <w:t>palielinot atļauto maksimālo slodzi esošam pieslēgumam, ja pieslēguma</w:t>
            </w:r>
            <w:r w:rsidR="0087762E">
              <w:rPr>
                <w:rFonts w:ascii="Times New Roman" w:eastAsiaTheme="minorEastAsia" w:hAnsi="Times New Roman" w:cs="Times New Roman"/>
                <w:sz w:val="20"/>
                <w:szCs w:val="20"/>
                <w:lang w:eastAsia="lv-LV"/>
              </w:rPr>
              <w:t xml:space="preserve"> spriegums ir 6-20kV vai 0,4</w:t>
            </w:r>
            <w:r w:rsidR="00843C8B" w:rsidRPr="00D54781">
              <w:rPr>
                <w:rFonts w:ascii="Times New Roman" w:eastAsiaTheme="minorEastAsia" w:hAnsi="Times New Roman" w:cs="Times New Roman"/>
                <w:sz w:val="20"/>
                <w:szCs w:val="20"/>
                <w:lang w:eastAsia="lv-LV"/>
              </w:rPr>
              <w:t xml:space="preserve">kV un summārā </w:t>
            </w:r>
            <w:proofErr w:type="spellStart"/>
            <w:r w:rsidR="00843C8B" w:rsidRPr="00D54781">
              <w:rPr>
                <w:rFonts w:ascii="Times New Roman" w:eastAsiaTheme="minorEastAsia" w:hAnsi="Times New Roman" w:cs="Times New Roman"/>
                <w:sz w:val="20"/>
                <w:szCs w:val="20"/>
                <w:lang w:eastAsia="lv-LV"/>
              </w:rPr>
              <w:t>ievadaizsardzības</w:t>
            </w:r>
            <w:proofErr w:type="spellEnd"/>
            <w:r w:rsidR="00843C8B" w:rsidRPr="00D54781">
              <w:rPr>
                <w:rFonts w:ascii="Times New Roman" w:eastAsiaTheme="minorEastAsia" w:hAnsi="Times New Roman" w:cs="Times New Roman"/>
                <w:sz w:val="20"/>
                <w:szCs w:val="20"/>
                <w:lang w:eastAsia="lv-LV"/>
              </w:rPr>
              <w:t xml:space="preserve"> aparāta nominālā strāva ir lielāka par 100 apmēriem. Efektīvi patērējot elektroenerģiju šādā pieslēgumā, LIETOTĀJAM ir iespēja 5 (piecu) gadu laikā atgūt pieslēguma maksu 100% (simts procentu) apmērā.</w:t>
            </w:r>
            <w:r w:rsidR="00802891" w:rsidRPr="00D54781">
              <w:rPr>
                <w:rFonts w:ascii="Times New Roman" w:eastAsiaTheme="minorEastAsia" w:hAnsi="Times New Roman" w:cs="Times New Roman"/>
                <w:sz w:val="20"/>
                <w:szCs w:val="20"/>
                <w:lang w:eastAsia="lv-LV"/>
              </w:rPr>
              <w:t xml:space="preserve"> Kritērijus efektīvai atļautās slodzes izmantošanai SSO </w:t>
            </w:r>
            <w:r w:rsidR="00E53B7F">
              <w:rPr>
                <w:rFonts w:ascii="Times New Roman" w:eastAsiaTheme="minorEastAsia" w:hAnsi="Times New Roman" w:cs="Times New Roman"/>
                <w:sz w:val="20"/>
                <w:szCs w:val="20"/>
                <w:lang w:eastAsia="lv-LV"/>
              </w:rPr>
              <w:t>piemēro atbilstoši</w:t>
            </w:r>
            <w:r w:rsidR="00802891" w:rsidRPr="00D54781">
              <w:rPr>
                <w:rFonts w:ascii="Times New Roman" w:eastAsiaTheme="minorEastAsia" w:hAnsi="Times New Roman" w:cs="Times New Roman"/>
                <w:sz w:val="20"/>
                <w:szCs w:val="20"/>
                <w:lang w:eastAsia="lv-LV"/>
              </w:rPr>
              <w:t xml:space="preserve"> Kārtībai par nosacījumiem efektīvai atļautās slodzes izmantošanai, kas publicēta www.sadalestikls.lv.</w:t>
            </w:r>
          </w:p>
        </w:tc>
      </w:tr>
      <w:tr w:rsidR="00D54781" w:rsidRPr="00D54781" w14:paraId="20FB8FC3" w14:textId="77777777" w:rsidTr="00C668EB">
        <w:tc>
          <w:tcPr>
            <w:tcW w:w="7229" w:type="dxa"/>
          </w:tcPr>
          <w:p w14:paraId="1E8ADCA3" w14:textId="77777777" w:rsidR="0002188B" w:rsidRPr="00D54781" w:rsidRDefault="0002188B" w:rsidP="007170E7">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802891" w:rsidRPr="00D54781">
              <w:rPr>
                <w:rFonts w:ascii="Times New Roman" w:eastAsiaTheme="minorEastAsia" w:hAnsi="Times New Roman" w:cs="Times New Roman"/>
                <w:sz w:val="20"/>
                <w:szCs w:val="20"/>
                <w:lang w:eastAsia="lv-LV"/>
              </w:rPr>
              <w:t>2</w:t>
            </w:r>
            <w:r w:rsidR="003279B1" w:rsidRPr="00D54781">
              <w:rPr>
                <w:rFonts w:ascii="Times New Roman" w:eastAsiaTheme="minorEastAsia" w:hAnsi="Times New Roman" w:cs="Times New Roman"/>
                <w:sz w:val="20"/>
                <w:szCs w:val="20"/>
                <w:lang w:eastAsia="lv-LV"/>
              </w:rPr>
              <w:t>.</w:t>
            </w:r>
            <w:r w:rsidR="004D7BA1" w:rsidRPr="00D54781">
              <w:rPr>
                <w:rFonts w:ascii="Times New Roman" w:eastAsiaTheme="minorEastAsia" w:hAnsi="Times New Roman" w:cs="Times New Roman"/>
                <w:sz w:val="20"/>
                <w:szCs w:val="20"/>
                <w:lang w:eastAsia="lv-LV"/>
              </w:rPr>
              <w:t xml:space="preserve"> </w:t>
            </w:r>
            <w:r w:rsidR="00A85040" w:rsidRPr="00D54781">
              <w:rPr>
                <w:rFonts w:ascii="Times New Roman" w:eastAsiaTheme="minorEastAsia" w:hAnsi="Times New Roman" w:cs="Times New Roman"/>
                <w:sz w:val="20"/>
                <w:szCs w:val="20"/>
                <w:lang w:eastAsia="lv-LV"/>
              </w:rPr>
              <w:t>Koeficient</w:t>
            </w:r>
            <w:r w:rsidR="00653FC9" w:rsidRPr="00D54781">
              <w:rPr>
                <w:rFonts w:ascii="Times New Roman" w:eastAsiaTheme="minorEastAsia" w:hAnsi="Times New Roman" w:cs="Times New Roman"/>
                <w:sz w:val="20"/>
                <w:szCs w:val="20"/>
                <w:lang w:eastAsia="lv-LV"/>
              </w:rPr>
              <w:t>u</w:t>
            </w:r>
            <w:r w:rsidR="00A85040" w:rsidRPr="00D54781">
              <w:rPr>
                <w:rFonts w:ascii="Times New Roman" w:eastAsiaTheme="minorEastAsia" w:hAnsi="Times New Roman" w:cs="Times New Roman"/>
                <w:sz w:val="20"/>
                <w:szCs w:val="20"/>
                <w:lang w:eastAsia="lv-LV"/>
              </w:rPr>
              <w:t xml:space="preserve"> 0,5 SSO sistēmas pakalpojumu diferencēto tarifu mainīgajai komponentei (maksa par elektroenerģijas sadalīšanu) un fiksētajai komponentei (maksa par </w:t>
            </w:r>
            <w:proofErr w:type="spellStart"/>
            <w:r w:rsidR="00A85040" w:rsidRPr="00D54781">
              <w:rPr>
                <w:rFonts w:ascii="Times New Roman" w:eastAsiaTheme="minorEastAsia" w:hAnsi="Times New Roman" w:cs="Times New Roman"/>
                <w:sz w:val="20"/>
                <w:szCs w:val="20"/>
                <w:lang w:eastAsia="lv-LV"/>
              </w:rPr>
              <w:t>ievadaizsardzības</w:t>
            </w:r>
            <w:proofErr w:type="spellEnd"/>
            <w:r w:rsidR="00A85040" w:rsidRPr="00D54781">
              <w:rPr>
                <w:rFonts w:ascii="Times New Roman" w:eastAsiaTheme="minorEastAsia" w:hAnsi="Times New Roman" w:cs="Times New Roman"/>
                <w:sz w:val="20"/>
                <w:szCs w:val="20"/>
                <w:lang w:eastAsia="lv-LV"/>
              </w:rPr>
              <w:t xml:space="preserve"> aparāta strāvas lielumu un maksai par atļauto slodzi</w:t>
            </w:r>
            <w:r w:rsidR="00653FC9" w:rsidRPr="00D54781">
              <w:rPr>
                <w:rFonts w:ascii="Times New Roman" w:eastAsiaTheme="minorEastAsia" w:hAnsi="Times New Roman" w:cs="Times New Roman"/>
                <w:sz w:val="20"/>
                <w:szCs w:val="20"/>
                <w:lang w:eastAsia="lv-LV"/>
              </w:rPr>
              <w:t>)</w:t>
            </w:r>
            <w:r w:rsidR="00A85040" w:rsidRPr="00D54781">
              <w:rPr>
                <w:rFonts w:ascii="Times New Roman" w:eastAsiaTheme="minorEastAsia" w:hAnsi="Times New Roman" w:cs="Times New Roman"/>
                <w:sz w:val="20"/>
                <w:szCs w:val="20"/>
                <w:lang w:eastAsia="lv-LV"/>
              </w:rPr>
              <w:t xml:space="preserve"> </w:t>
            </w:r>
            <w:r w:rsidR="00653FC9" w:rsidRPr="00D54781">
              <w:rPr>
                <w:rFonts w:ascii="Times New Roman" w:eastAsiaTheme="minorEastAsia" w:hAnsi="Times New Roman" w:cs="Times New Roman"/>
                <w:sz w:val="20"/>
                <w:szCs w:val="20"/>
                <w:lang w:eastAsia="lv-LV"/>
              </w:rPr>
              <w:t>uzsāk piemērot, kad objekta pieslēgumā tiek pārsniegts</w:t>
            </w:r>
            <w:r w:rsidR="00C74ADF">
              <w:rPr>
                <w:rFonts w:ascii="Times New Roman" w:eastAsiaTheme="minorEastAsia" w:hAnsi="Times New Roman" w:cs="Times New Roman"/>
                <w:sz w:val="20"/>
                <w:szCs w:val="20"/>
                <w:lang w:eastAsia="lv-LV"/>
              </w:rPr>
              <w:t xml:space="preserve"> gada </w:t>
            </w:r>
            <w:r w:rsidR="00464500" w:rsidRPr="004334F3">
              <w:rPr>
                <w:rFonts w:ascii="Times New Roman" w:eastAsiaTheme="minorEastAsia" w:hAnsi="Times New Roman" w:cs="Times New Roman"/>
                <w:sz w:val="20"/>
                <w:szCs w:val="20"/>
                <w:lang w:eastAsia="lv-LV"/>
              </w:rPr>
              <w:t xml:space="preserve">efektīvais </w:t>
            </w:r>
            <w:r w:rsidR="00C74ADF">
              <w:rPr>
                <w:rFonts w:ascii="Times New Roman" w:eastAsiaTheme="minorEastAsia" w:hAnsi="Times New Roman" w:cs="Times New Roman"/>
                <w:sz w:val="20"/>
                <w:szCs w:val="20"/>
                <w:lang w:eastAsia="lv-LV"/>
              </w:rPr>
              <w:t>elektroenerģijas patēriņš</w:t>
            </w:r>
          </w:p>
        </w:tc>
        <w:tc>
          <w:tcPr>
            <w:tcW w:w="2694" w:type="dxa"/>
          </w:tcPr>
          <w:p w14:paraId="503F21AB"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48747185" w14:textId="77777777" w:rsidTr="00C668EB">
        <w:tc>
          <w:tcPr>
            <w:tcW w:w="7229" w:type="dxa"/>
          </w:tcPr>
          <w:p w14:paraId="6DC7023B" w14:textId="77777777" w:rsidR="0002188B" w:rsidRPr="00D54781" w:rsidRDefault="0002188B" w:rsidP="00E53B7F">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802891" w:rsidRPr="00D54781">
              <w:rPr>
                <w:rFonts w:ascii="Times New Roman" w:eastAsiaTheme="minorEastAsia" w:hAnsi="Times New Roman" w:cs="Times New Roman"/>
                <w:sz w:val="20"/>
                <w:szCs w:val="20"/>
                <w:lang w:eastAsia="lv-LV"/>
              </w:rPr>
              <w:t>3</w:t>
            </w:r>
            <w:r w:rsidRPr="00D54781">
              <w:rPr>
                <w:rFonts w:ascii="Times New Roman" w:eastAsiaTheme="minorEastAsia" w:hAnsi="Times New Roman" w:cs="Times New Roman"/>
                <w:sz w:val="20"/>
                <w:szCs w:val="20"/>
                <w:lang w:eastAsia="lv-LV"/>
              </w:rPr>
              <w:t xml:space="preserve">. </w:t>
            </w:r>
            <w:r w:rsidR="00E15530" w:rsidRPr="00D54781">
              <w:rPr>
                <w:rFonts w:ascii="Times New Roman" w:eastAsiaTheme="minorEastAsia" w:hAnsi="Times New Roman" w:cs="Times New Roman"/>
                <w:sz w:val="20"/>
                <w:szCs w:val="20"/>
                <w:lang w:eastAsia="lv-LV"/>
              </w:rPr>
              <w:t>SSO uzsāk elektroenerģijas gada patēriņa uzskaiti no nākamā mēneša 1. datum</w:t>
            </w:r>
            <w:r w:rsidR="00E53B7F">
              <w:rPr>
                <w:rFonts w:ascii="Times New Roman" w:eastAsiaTheme="minorEastAsia" w:hAnsi="Times New Roman" w:cs="Times New Roman"/>
                <w:sz w:val="20"/>
                <w:szCs w:val="20"/>
                <w:lang w:eastAsia="lv-LV"/>
              </w:rPr>
              <w:t>a</w:t>
            </w:r>
            <w:r w:rsidR="00E15530" w:rsidRPr="00D54781">
              <w:rPr>
                <w:rFonts w:ascii="Times New Roman" w:eastAsiaTheme="minorEastAsia" w:hAnsi="Times New Roman" w:cs="Times New Roman"/>
                <w:sz w:val="20"/>
                <w:szCs w:val="20"/>
                <w:lang w:eastAsia="lv-LV"/>
              </w:rPr>
              <w:t xml:space="preserve"> pēc Līguma vai tā grozījumu paziņošanas I daļā </w:t>
            </w:r>
            <w:r w:rsidR="00E15530" w:rsidRPr="00D54781">
              <w:rPr>
                <w:rFonts w:ascii="Times New Roman" w:eastAsiaTheme="minorEastAsia" w:hAnsi="Times New Roman" w:cs="Times New Roman"/>
                <w:i/>
                <w:sz w:val="20"/>
                <w:szCs w:val="20"/>
                <w:lang w:eastAsia="lv-LV"/>
              </w:rPr>
              <w:t>Vispārīgie noteikumi</w:t>
            </w:r>
            <w:r w:rsidR="00E15530" w:rsidRPr="00D54781">
              <w:rPr>
                <w:rFonts w:ascii="Times New Roman" w:eastAsiaTheme="minorEastAsia" w:hAnsi="Times New Roman" w:cs="Times New Roman"/>
                <w:sz w:val="20"/>
                <w:szCs w:val="20"/>
                <w:lang w:eastAsia="lv-LV"/>
              </w:rPr>
              <w:t xml:space="preserve"> 6.sadaļā  </w:t>
            </w:r>
            <w:r w:rsidR="00E15530" w:rsidRPr="00D54781">
              <w:rPr>
                <w:rFonts w:ascii="Times New Roman" w:eastAsiaTheme="minorEastAsia" w:hAnsi="Times New Roman" w:cs="Times New Roman"/>
                <w:i/>
                <w:sz w:val="20"/>
                <w:szCs w:val="20"/>
                <w:lang w:eastAsia="lv-LV"/>
              </w:rPr>
              <w:t>Līguma spēkā stāšanās, grozīšana un izbeigšana</w:t>
            </w:r>
            <w:r w:rsidR="00E15530" w:rsidRPr="00D54781">
              <w:rPr>
                <w:rFonts w:ascii="Times New Roman" w:eastAsiaTheme="minorEastAsia" w:hAnsi="Times New Roman" w:cs="Times New Roman"/>
                <w:sz w:val="20"/>
                <w:szCs w:val="20"/>
                <w:lang w:eastAsia="lv-LV"/>
              </w:rPr>
              <w:t xml:space="preserve"> noteiktajā veidā. Objekta pieslēgumā elektroenerģijas g</w:t>
            </w:r>
            <w:r w:rsidR="007433B5">
              <w:rPr>
                <w:rFonts w:ascii="Times New Roman" w:eastAsiaTheme="minorEastAsia" w:hAnsi="Times New Roman" w:cs="Times New Roman"/>
                <w:sz w:val="20"/>
                <w:szCs w:val="20"/>
                <w:lang w:eastAsia="lv-LV"/>
              </w:rPr>
              <w:t>ada patēriņa uzskaiti SSO uzsāk</w:t>
            </w:r>
          </w:p>
        </w:tc>
        <w:tc>
          <w:tcPr>
            <w:tcW w:w="2694" w:type="dxa"/>
          </w:tcPr>
          <w:p w14:paraId="06AD7BD6" w14:textId="77777777" w:rsidR="0002188B" w:rsidRPr="00D54781" w:rsidRDefault="0002188B" w:rsidP="009534C2">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D54781" w:rsidRPr="00D54781" w14:paraId="2EABF965" w14:textId="77777777" w:rsidTr="00C668EB">
        <w:tc>
          <w:tcPr>
            <w:tcW w:w="7229" w:type="dxa"/>
          </w:tcPr>
          <w:p w14:paraId="3633DEAC" w14:textId="77777777" w:rsidR="000D2F65" w:rsidRPr="00D54781" w:rsidRDefault="0002188B" w:rsidP="00E15530">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802891" w:rsidRPr="00D54781">
              <w:rPr>
                <w:rFonts w:ascii="Times New Roman" w:eastAsiaTheme="minorEastAsia" w:hAnsi="Times New Roman" w:cs="Times New Roman"/>
                <w:sz w:val="20"/>
                <w:szCs w:val="20"/>
                <w:lang w:eastAsia="lv-LV"/>
              </w:rPr>
              <w:t>4</w:t>
            </w:r>
            <w:r w:rsidRPr="00D54781">
              <w:rPr>
                <w:rFonts w:ascii="Times New Roman" w:eastAsiaTheme="minorEastAsia" w:hAnsi="Times New Roman" w:cs="Times New Roman"/>
                <w:sz w:val="20"/>
                <w:szCs w:val="20"/>
                <w:lang w:eastAsia="lv-LV"/>
              </w:rPr>
              <w:t xml:space="preserve">. </w:t>
            </w:r>
            <w:r w:rsidR="00E15530" w:rsidRPr="00D54781">
              <w:rPr>
                <w:rFonts w:ascii="Times New Roman" w:eastAsiaTheme="minorEastAsia" w:hAnsi="Times New Roman" w:cs="Times New Roman"/>
                <w:sz w:val="20"/>
                <w:szCs w:val="20"/>
                <w:lang w:eastAsia="lv-LV"/>
              </w:rPr>
              <w:t>E</w:t>
            </w:r>
            <w:r w:rsidR="000E54D9" w:rsidRPr="00D54781">
              <w:rPr>
                <w:rFonts w:ascii="Times New Roman" w:eastAsiaTheme="minorEastAsia" w:hAnsi="Times New Roman" w:cs="Times New Roman"/>
                <w:sz w:val="20"/>
                <w:szCs w:val="20"/>
                <w:lang w:eastAsia="lv-LV"/>
              </w:rPr>
              <w:t>fektīvas atļautās slodzes izmantošanas nosacījumus</w:t>
            </w:r>
            <w:r w:rsidR="000D2F65" w:rsidRPr="00D54781">
              <w:rPr>
                <w:rFonts w:ascii="Times New Roman" w:eastAsiaTheme="minorEastAsia" w:hAnsi="Times New Roman" w:cs="Times New Roman"/>
                <w:sz w:val="20"/>
                <w:szCs w:val="20"/>
                <w:lang w:eastAsia="lv-LV"/>
              </w:rPr>
              <w:t xml:space="preserve"> </w:t>
            </w:r>
            <w:r w:rsidR="00A85040" w:rsidRPr="00D54781">
              <w:rPr>
                <w:rFonts w:ascii="Times New Roman" w:eastAsiaTheme="minorEastAsia" w:hAnsi="Times New Roman" w:cs="Times New Roman"/>
                <w:sz w:val="20"/>
                <w:szCs w:val="20"/>
                <w:lang w:eastAsia="lv-LV"/>
              </w:rPr>
              <w:t xml:space="preserve">SSO </w:t>
            </w:r>
            <w:r w:rsidR="00B575EE" w:rsidRPr="00D54781">
              <w:rPr>
                <w:rFonts w:ascii="Times New Roman" w:eastAsiaTheme="minorEastAsia" w:hAnsi="Times New Roman" w:cs="Times New Roman"/>
                <w:sz w:val="20"/>
                <w:szCs w:val="20"/>
                <w:lang w:eastAsia="lv-LV"/>
              </w:rPr>
              <w:t>piemēro</w:t>
            </w:r>
          </w:p>
        </w:tc>
        <w:tc>
          <w:tcPr>
            <w:tcW w:w="2694" w:type="dxa"/>
          </w:tcPr>
          <w:p w14:paraId="7EF240C6" w14:textId="77777777" w:rsidR="0002188B" w:rsidRPr="00D54781" w:rsidRDefault="0002188B" w:rsidP="009534C2">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r w:rsidR="0002188B" w:rsidRPr="00D54781" w14:paraId="0FCCDC28" w14:textId="77777777" w:rsidTr="00C668EB">
        <w:tc>
          <w:tcPr>
            <w:tcW w:w="7229" w:type="dxa"/>
          </w:tcPr>
          <w:p w14:paraId="168B6F23" w14:textId="77777777" w:rsidR="0002188B" w:rsidRPr="00D54781" w:rsidRDefault="0002188B" w:rsidP="00802891">
            <w:pPr>
              <w:widowControl w:val="0"/>
              <w:autoSpaceDE w:val="0"/>
              <w:autoSpaceDN w:val="0"/>
              <w:adjustRightInd w:val="0"/>
              <w:ind w:right="105"/>
              <w:jc w:val="both"/>
              <w:rPr>
                <w:rFonts w:ascii="Times New Roman" w:eastAsiaTheme="minorEastAsia" w:hAnsi="Times New Roman" w:cs="Times New Roman"/>
                <w:sz w:val="20"/>
                <w:szCs w:val="20"/>
                <w:lang w:eastAsia="lv-LV"/>
              </w:rPr>
            </w:pPr>
            <w:r w:rsidRPr="00D54781">
              <w:rPr>
                <w:rFonts w:ascii="Times New Roman" w:eastAsiaTheme="minorEastAsia" w:hAnsi="Times New Roman" w:cs="Times New Roman"/>
                <w:sz w:val="20"/>
                <w:szCs w:val="20"/>
                <w:lang w:eastAsia="lv-LV"/>
              </w:rPr>
              <w:t>2.</w:t>
            </w:r>
            <w:r w:rsidR="00802891" w:rsidRPr="00D54781">
              <w:rPr>
                <w:rFonts w:ascii="Times New Roman" w:eastAsiaTheme="minorEastAsia" w:hAnsi="Times New Roman" w:cs="Times New Roman"/>
                <w:sz w:val="20"/>
                <w:szCs w:val="20"/>
                <w:lang w:eastAsia="lv-LV"/>
              </w:rPr>
              <w:t>5</w:t>
            </w:r>
            <w:r w:rsidRPr="00D54781">
              <w:rPr>
                <w:rFonts w:ascii="Times New Roman" w:eastAsiaTheme="minorEastAsia" w:hAnsi="Times New Roman" w:cs="Times New Roman"/>
                <w:sz w:val="20"/>
                <w:szCs w:val="20"/>
                <w:lang w:eastAsia="lv-LV"/>
              </w:rPr>
              <w:t xml:space="preserve">. </w:t>
            </w:r>
            <w:r w:rsidR="00667AA0" w:rsidRPr="00D54781">
              <w:rPr>
                <w:rFonts w:ascii="Times New Roman" w:eastAsiaTheme="minorEastAsia" w:hAnsi="Times New Roman" w:cs="Times New Roman"/>
                <w:sz w:val="20"/>
                <w:szCs w:val="20"/>
                <w:lang w:eastAsia="lv-LV"/>
              </w:rPr>
              <w:t>Pieslēguma</w:t>
            </w:r>
            <w:r w:rsidR="00B575EE" w:rsidRPr="00D54781">
              <w:rPr>
                <w:rFonts w:ascii="Times New Roman" w:eastAsiaTheme="minorEastAsia" w:hAnsi="Times New Roman" w:cs="Times New Roman"/>
                <w:sz w:val="20"/>
                <w:szCs w:val="20"/>
                <w:lang w:eastAsia="lv-LV"/>
              </w:rPr>
              <w:t xml:space="preserve"> maksa, ko </w:t>
            </w:r>
            <w:r w:rsidR="000E54D9" w:rsidRPr="00D54781">
              <w:rPr>
                <w:rFonts w:ascii="Times New Roman" w:eastAsiaTheme="minorEastAsia" w:hAnsi="Times New Roman" w:cs="Times New Roman"/>
                <w:sz w:val="20"/>
                <w:szCs w:val="20"/>
                <w:lang w:eastAsia="lv-LV"/>
              </w:rPr>
              <w:t>LIETOTĀJAM ir iespēja</w:t>
            </w:r>
            <w:r w:rsidR="00855C51" w:rsidRPr="00D54781">
              <w:rPr>
                <w:rFonts w:ascii="Times New Roman" w:eastAsiaTheme="minorEastAsia" w:hAnsi="Times New Roman" w:cs="Times New Roman"/>
                <w:sz w:val="20"/>
                <w:szCs w:val="20"/>
                <w:lang w:eastAsia="lv-LV"/>
              </w:rPr>
              <w:t xml:space="preserve"> </w:t>
            </w:r>
            <w:r w:rsidR="00B575EE" w:rsidRPr="00D54781">
              <w:rPr>
                <w:rFonts w:ascii="Times New Roman" w:eastAsiaTheme="minorEastAsia" w:hAnsi="Times New Roman" w:cs="Times New Roman"/>
                <w:sz w:val="20"/>
                <w:szCs w:val="20"/>
                <w:lang w:eastAsia="lv-LV"/>
              </w:rPr>
              <w:t>atgūt</w:t>
            </w:r>
          </w:p>
        </w:tc>
        <w:tc>
          <w:tcPr>
            <w:tcW w:w="2694" w:type="dxa"/>
          </w:tcPr>
          <w:p w14:paraId="7E334437" w14:textId="77777777" w:rsidR="0002188B" w:rsidRPr="00D54781" w:rsidRDefault="0002188B" w:rsidP="0002188B">
            <w:pPr>
              <w:widowControl w:val="0"/>
              <w:autoSpaceDE w:val="0"/>
              <w:autoSpaceDN w:val="0"/>
              <w:adjustRightInd w:val="0"/>
              <w:ind w:right="105"/>
              <w:jc w:val="both"/>
              <w:rPr>
                <w:rFonts w:ascii="Times New Roman" w:eastAsiaTheme="minorEastAsia" w:hAnsi="Times New Roman" w:cs="Times New Roman"/>
                <w:sz w:val="20"/>
                <w:szCs w:val="20"/>
                <w:lang w:eastAsia="lv-LV"/>
              </w:rPr>
            </w:pPr>
          </w:p>
        </w:tc>
      </w:tr>
    </w:tbl>
    <w:p w14:paraId="4126ACD8" w14:textId="77777777" w:rsidR="00E07ECC" w:rsidRPr="00D54781" w:rsidRDefault="00E07ECC" w:rsidP="00DE2A5B">
      <w:pPr>
        <w:spacing w:before="120" w:after="0" w:line="240" w:lineRule="auto"/>
        <w:jc w:val="both"/>
        <w:rPr>
          <w:rFonts w:ascii="Times New Roman" w:eastAsiaTheme="minorEastAsia" w:hAnsi="Times New Roman" w:cs="Times New Roman"/>
          <w:sz w:val="20"/>
          <w:szCs w:val="20"/>
          <w:lang w:eastAsia="lv-LV"/>
        </w:rPr>
      </w:pPr>
    </w:p>
    <w:sectPr w:rsidR="00E07ECC" w:rsidRPr="00D54781" w:rsidSect="0002188B">
      <w:pgSz w:w="11906" w:h="16838"/>
      <w:pgMar w:top="289" w:right="737" w:bottom="295"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879AC"/>
    <w:multiLevelType w:val="hybridMultilevel"/>
    <w:tmpl w:val="FC8647E4"/>
    <w:lvl w:ilvl="0" w:tplc="8F94918A">
      <w:start w:val="1"/>
      <w:numFmt w:val="bullet"/>
      <w:lvlText w:val="-"/>
      <w:lvlJc w:val="left"/>
      <w:pPr>
        <w:ind w:left="405" w:hanging="360"/>
      </w:pPr>
      <w:rPr>
        <w:rFonts w:ascii="Times New Roman" w:eastAsiaTheme="minorEastAsia"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8B"/>
    <w:rsid w:val="00016433"/>
    <w:rsid w:val="0002188B"/>
    <w:rsid w:val="00067D40"/>
    <w:rsid w:val="00076296"/>
    <w:rsid w:val="00087469"/>
    <w:rsid w:val="00092BCC"/>
    <w:rsid w:val="00092FA5"/>
    <w:rsid w:val="000A5A7A"/>
    <w:rsid w:val="000C34F7"/>
    <w:rsid w:val="000D03A3"/>
    <w:rsid w:val="000D2F65"/>
    <w:rsid w:val="000E54D9"/>
    <w:rsid w:val="00113159"/>
    <w:rsid w:val="001160C0"/>
    <w:rsid w:val="001164AF"/>
    <w:rsid w:val="0012307E"/>
    <w:rsid w:val="00127277"/>
    <w:rsid w:val="00140521"/>
    <w:rsid w:val="0014183C"/>
    <w:rsid w:val="001465B3"/>
    <w:rsid w:val="00152282"/>
    <w:rsid w:val="00163AEC"/>
    <w:rsid w:val="001B3C3B"/>
    <w:rsid w:val="001D3EB1"/>
    <w:rsid w:val="001E1661"/>
    <w:rsid w:val="002165C4"/>
    <w:rsid w:val="002337FD"/>
    <w:rsid w:val="00243F94"/>
    <w:rsid w:val="00247082"/>
    <w:rsid w:val="00273C75"/>
    <w:rsid w:val="002777E9"/>
    <w:rsid w:val="002A06B9"/>
    <w:rsid w:val="002C2B38"/>
    <w:rsid w:val="002E0BAA"/>
    <w:rsid w:val="003037BD"/>
    <w:rsid w:val="003139B1"/>
    <w:rsid w:val="0031429F"/>
    <w:rsid w:val="00324033"/>
    <w:rsid w:val="003279B1"/>
    <w:rsid w:val="00333B89"/>
    <w:rsid w:val="00343203"/>
    <w:rsid w:val="003612AF"/>
    <w:rsid w:val="00361ED2"/>
    <w:rsid w:val="003A243D"/>
    <w:rsid w:val="003B0E66"/>
    <w:rsid w:val="003C11F1"/>
    <w:rsid w:val="003F3311"/>
    <w:rsid w:val="00406B11"/>
    <w:rsid w:val="004221CF"/>
    <w:rsid w:val="004334F3"/>
    <w:rsid w:val="00436030"/>
    <w:rsid w:val="004414F3"/>
    <w:rsid w:val="00442F28"/>
    <w:rsid w:val="004442D5"/>
    <w:rsid w:val="00445B24"/>
    <w:rsid w:val="00464500"/>
    <w:rsid w:val="00472E95"/>
    <w:rsid w:val="0048502C"/>
    <w:rsid w:val="00486566"/>
    <w:rsid w:val="004A0033"/>
    <w:rsid w:val="004B58A2"/>
    <w:rsid w:val="004D1D1B"/>
    <w:rsid w:val="004D7BA1"/>
    <w:rsid w:val="004E4246"/>
    <w:rsid w:val="004E470C"/>
    <w:rsid w:val="004E7A1C"/>
    <w:rsid w:val="004E7EBE"/>
    <w:rsid w:val="00513161"/>
    <w:rsid w:val="005213FA"/>
    <w:rsid w:val="00553BA7"/>
    <w:rsid w:val="00557C13"/>
    <w:rsid w:val="0056290B"/>
    <w:rsid w:val="00570CC9"/>
    <w:rsid w:val="005766AC"/>
    <w:rsid w:val="00584866"/>
    <w:rsid w:val="005860F6"/>
    <w:rsid w:val="0059782A"/>
    <w:rsid w:val="005A110E"/>
    <w:rsid w:val="005B42BE"/>
    <w:rsid w:val="005B489B"/>
    <w:rsid w:val="005B610D"/>
    <w:rsid w:val="005C39F0"/>
    <w:rsid w:val="005D100D"/>
    <w:rsid w:val="005D7A5A"/>
    <w:rsid w:val="005E305F"/>
    <w:rsid w:val="005E38FD"/>
    <w:rsid w:val="005E5577"/>
    <w:rsid w:val="005F0BCD"/>
    <w:rsid w:val="005F604A"/>
    <w:rsid w:val="005F70EA"/>
    <w:rsid w:val="006078A8"/>
    <w:rsid w:val="00607BD6"/>
    <w:rsid w:val="00607C1F"/>
    <w:rsid w:val="00617EFF"/>
    <w:rsid w:val="006243CB"/>
    <w:rsid w:val="00633E3E"/>
    <w:rsid w:val="00634629"/>
    <w:rsid w:val="00653FC9"/>
    <w:rsid w:val="00655FA8"/>
    <w:rsid w:val="006570A8"/>
    <w:rsid w:val="00662C9D"/>
    <w:rsid w:val="00667AA0"/>
    <w:rsid w:val="00675091"/>
    <w:rsid w:val="00690B31"/>
    <w:rsid w:val="006A0033"/>
    <w:rsid w:val="006A444F"/>
    <w:rsid w:val="006C09BA"/>
    <w:rsid w:val="006C4975"/>
    <w:rsid w:val="006E05B2"/>
    <w:rsid w:val="006E3B2C"/>
    <w:rsid w:val="006E6B5D"/>
    <w:rsid w:val="007170E7"/>
    <w:rsid w:val="00725B03"/>
    <w:rsid w:val="00726037"/>
    <w:rsid w:val="007304B2"/>
    <w:rsid w:val="00733067"/>
    <w:rsid w:val="007433B5"/>
    <w:rsid w:val="00745B2E"/>
    <w:rsid w:val="00747C89"/>
    <w:rsid w:val="007565DC"/>
    <w:rsid w:val="007762EB"/>
    <w:rsid w:val="00785520"/>
    <w:rsid w:val="00794778"/>
    <w:rsid w:val="007A2AD2"/>
    <w:rsid w:val="007B18DA"/>
    <w:rsid w:val="007C7C54"/>
    <w:rsid w:val="007D6D41"/>
    <w:rsid w:val="007E1DEB"/>
    <w:rsid w:val="007E3B56"/>
    <w:rsid w:val="007F20D9"/>
    <w:rsid w:val="007F5788"/>
    <w:rsid w:val="00802891"/>
    <w:rsid w:val="0080359E"/>
    <w:rsid w:val="008203E6"/>
    <w:rsid w:val="008220AB"/>
    <w:rsid w:val="00824607"/>
    <w:rsid w:val="00831477"/>
    <w:rsid w:val="008340A1"/>
    <w:rsid w:val="00836E53"/>
    <w:rsid w:val="00843C8B"/>
    <w:rsid w:val="00843EDD"/>
    <w:rsid w:val="00844832"/>
    <w:rsid w:val="00855C51"/>
    <w:rsid w:val="008771CA"/>
    <w:rsid w:val="0087762E"/>
    <w:rsid w:val="00882D11"/>
    <w:rsid w:val="00894204"/>
    <w:rsid w:val="008A6C11"/>
    <w:rsid w:val="008C1830"/>
    <w:rsid w:val="008C22A8"/>
    <w:rsid w:val="008C2516"/>
    <w:rsid w:val="008E3796"/>
    <w:rsid w:val="008F555B"/>
    <w:rsid w:val="008F576D"/>
    <w:rsid w:val="00900942"/>
    <w:rsid w:val="00915D83"/>
    <w:rsid w:val="00942B46"/>
    <w:rsid w:val="009534C2"/>
    <w:rsid w:val="00954600"/>
    <w:rsid w:val="0097217A"/>
    <w:rsid w:val="00984A10"/>
    <w:rsid w:val="00994075"/>
    <w:rsid w:val="009B41A2"/>
    <w:rsid w:val="009D0854"/>
    <w:rsid w:val="009E162E"/>
    <w:rsid w:val="009E5E06"/>
    <w:rsid w:val="00A03494"/>
    <w:rsid w:val="00A10880"/>
    <w:rsid w:val="00A14668"/>
    <w:rsid w:val="00A14CB7"/>
    <w:rsid w:val="00A1676D"/>
    <w:rsid w:val="00A27D6C"/>
    <w:rsid w:val="00A30D83"/>
    <w:rsid w:val="00A33617"/>
    <w:rsid w:val="00A66E2C"/>
    <w:rsid w:val="00A85040"/>
    <w:rsid w:val="00A938F9"/>
    <w:rsid w:val="00A96877"/>
    <w:rsid w:val="00AB3EAD"/>
    <w:rsid w:val="00AC5995"/>
    <w:rsid w:val="00AD3453"/>
    <w:rsid w:val="00AD6E99"/>
    <w:rsid w:val="00AF4A63"/>
    <w:rsid w:val="00B02224"/>
    <w:rsid w:val="00B041CE"/>
    <w:rsid w:val="00B21176"/>
    <w:rsid w:val="00B222C8"/>
    <w:rsid w:val="00B423E7"/>
    <w:rsid w:val="00B575EE"/>
    <w:rsid w:val="00B57A96"/>
    <w:rsid w:val="00B65890"/>
    <w:rsid w:val="00B671E4"/>
    <w:rsid w:val="00B70ED4"/>
    <w:rsid w:val="00B90FF2"/>
    <w:rsid w:val="00B92DDB"/>
    <w:rsid w:val="00B953C7"/>
    <w:rsid w:val="00BB545F"/>
    <w:rsid w:val="00BD7278"/>
    <w:rsid w:val="00BE1375"/>
    <w:rsid w:val="00BF48D2"/>
    <w:rsid w:val="00C2054B"/>
    <w:rsid w:val="00C6474B"/>
    <w:rsid w:val="00C74ADF"/>
    <w:rsid w:val="00C830FD"/>
    <w:rsid w:val="00C87FC8"/>
    <w:rsid w:val="00CB133C"/>
    <w:rsid w:val="00CB3049"/>
    <w:rsid w:val="00CE11AF"/>
    <w:rsid w:val="00CF2F96"/>
    <w:rsid w:val="00CF7DD8"/>
    <w:rsid w:val="00D142FF"/>
    <w:rsid w:val="00D274E5"/>
    <w:rsid w:val="00D31302"/>
    <w:rsid w:val="00D54781"/>
    <w:rsid w:val="00D66E6D"/>
    <w:rsid w:val="00D73862"/>
    <w:rsid w:val="00D80DA9"/>
    <w:rsid w:val="00D824A3"/>
    <w:rsid w:val="00D91CB4"/>
    <w:rsid w:val="00D95576"/>
    <w:rsid w:val="00DB3C89"/>
    <w:rsid w:val="00DC23A5"/>
    <w:rsid w:val="00DC2EE0"/>
    <w:rsid w:val="00DC42E9"/>
    <w:rsid w:val="00DE2A5B"/>
    <w:rsid w:val="00E07ECC"/>
    <w:rsid w:val="00E15530"/>
    <w:rsid w:val="00E31618"/>
    <w:rsid w:val="00E32E82"/>
    <w:rsid w:val="00E45CF9"/>
    <w:rsid w:val="00E50FA4"/>
    <w:rsid w:val="00E53B7F"/>
    <w:rsid w:val="00E713D8"/>
    <w:rsid w:val="00E71836"/>
    <w:rsid w:val="00E73F48"/>
    <w:rsid w:val="00E77323"/>
    <w:rsid w:val="00E80BFA"/>
    <w:rsid w:val="00E81A36"/>
    <w:rsid w:val="00E90DDF"/>
    <w:rsid w:val="00EB403C"/>
    <w:rsid w:val="00EB618B"/>
    <w:rsid w:val="00ED2EFA"/>
    <w:rsid w:val="00ED46F2"/>
    <w:rsid w:val="00EF1C26"/>
    <w:rsid w:val="00EF3C18"/>
    <w:rsid w:val="00F31010"/>
    <w:rsid w:val="00F3709F"/>
    <w:rsid w:val="00F43EC6"/>
    <w:rsid w:val="00F83C31"/>
    <w:rsid w:val="00FA265A"/>
    <w:rsid w:val="00FB4949"/>
    <w:rsid w:val="00FB7256"/>
    <w:rsid w:val="00FC2057"/>
    <w:rsid w:val="00FC686E"/>
    <w:rsid w:val="00FD0FF2"/>
    <w:rsid w:val="00FD4552"/>
    <w:rsid w:val="00FF0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FCCC"/>
  <w15:docId w15:val="{03B1E6B5-B77C-45F0-8A55-386A4F1A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2188B"/>
    <w:rPr>
      <w:sz w:val="16"/>
      <w:szCs w:val="16"/>
    </w:rPr>
  </w:style>
  <w:style w:type="paragraph" w:styleId="CommentText">
    <w:name w:val="annotation text"/>
    <w:basedOn w:val="Normal"/>
    <w:link w:val="CommentTextChar"/>
    <w:uiPriority w:val="99"/>
    <w:unhideWhenUsed/>
    <w:rsid w:val="0002188B"/>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02188B"/>
    <w:rPr>
      <w:rFonts w:eastAsiaTheme="minorEastAsia"/>
      <w:sz w:val="20"/>
      <w:szCs w:val="20"/>
      <w:lang w:eastAsia="lv-LV"/>
    </w:rPr>
  </w:style>
  <w:style w:type="table" w:styleId="TableGrid">
    <w:name w:val="Table Grid"/>
    <w:basedOn w:val="TableNormal"/>
    <w:uiPriority w:val="59"/>
    <w:rsid w:val="0002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5995"/>
    <w:rPr>
      <w:rFonts w:eastAsiaTheme="minorHAnsi"/>
      <w:b/>
      <w:bCs/>
      <w:lang w:eastAsia="en-US"/>
    </w:rPr>
  </w:style>
  <w:style w:type="character" w:customStyle="1" w:styleId="CommentSubjectChar">
    <w:name w:val="Comment Subject Char"/>
    <w:basedOn w:val="CommentTextChar"/>
    <w:link w:val="CommentSubject"/>
    <w:uiPriority w:val="99"/>
    <w:semiHidden/>
    <w:rsid w:val="00AC5995"/>
    <w:rPr>
      <w:rFonts w:eastAsiaTheme="minorEastAsia"/>
      <w:b/>
      <w:bCs/>
      <w:sz w:val="20"/>
      <w:szCs w:val="20"/>
      <w:lang w:eastAsia="lv-LV"/>
    </w:rPr>
  </w:style>
  <w:style w:type="paragraph" w:styleId="Revision">
    <w:name w:val="Revision"/>
    <w:hidden/>
    <w:uiPriority w:val="99"/>
    <w:semiHidden/>
    <w:rsid w:val="00633E3E"/>
    <w:pPr>
      <w:spacing w:after="0" w:line="240" w:lineRule="auto"/>
    </w:pPr>
  </w:style>
  <w:style w:type="paragraph" w:styleId="ListParagraph">
    <w:name w:val="List Paragraph"/>
    <w:basedOn w:val="Normal"/>
    <w:uiPriority w:val="34"/>
    <w:qFormat/>
    <w:rsid w:val="00CF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4A635F8AB7526448D4624F35275E978" ma:contentTypeVersion="0" ma:contentTypeDescription="Izveidot jaunu dokumentu." ma:contentTypeScope="" ma:versionID="3d4f5d7649fa2946a03b70fd5b5cf017">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7AD37-D836-436F-99FC-4100F4432ED0}">
  <ds:schemaRefs>
    <ds:schemaRef ds:uri="http://schemas.microsoft.com/sharepoint/v3/contenttype/forms"/>
  </ds:schemaRefs>
</ds:datastoreItem>
</file>

<file path=customXml/itemProps2.xml><?xml version="1.0" encoding="utf-8"?>
<ds:datastoreItem xmlns:ds="http://schemas.openxmlformats.org/officeDocument/2006/customXml" ds:itemID="{44B5ACE1-04FF-40FC-9704-E076330DE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AB51E-7351-4343-9562-335F927E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4170</Words>
  <Characters>2377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Belkeviča</dc:creator>
  <cp:lastModifiedBy>Inita Grīniņa</cp:lastModifiedBy>
  <cp:revision>2</cp:revision>
  <dcterms:created xsi:type="dcterms:W3CDTF">2021-10-15T10:59:00Z</dcterms:created>
  <dcterms:modified xsi:type="dcterms:W3CDTF">2021-10-15T10:59:00Z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0x01010034A635F8AB7526448D4624F35275E978</vt:lpwstr>
  </property>
</Properties>
</file>